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autoSpaceDN/>
        <w:bidi w:val="0"/>
        <w:adjustRightInd/>
        <w:snapToGrid/>
        <w:spacing w:before="340" w:beforeLines="0" w:beforeAutospacing="0" w:after="330" w:afterLines="0" w:afterAutospacing="0" w:line="560" w:lineRule="exact"/>
        <w:ind w:left="440" w:leftChars="0" w:hanging="440" w:hangingChars="100"/>
        <w:jc w:val="center"/>
        <w:textAlignment w:val="auto"/>
        <w:rPr>
          <w:rFonts w:hint="default" w:ascii="方正小标宋简体" w:hAnsi="方正小标宋简体" w:eastAsia="方正小标宋简体" w:cs="方正小标宋简体"/>
          <w:b w:val="0"/>
          <w:bCs/>
          <w:color w:val="auto"/>
          <w:sz w:val="44"/>
          <w:szCs w:val="22"/>
          <w:lang w:val="en-US" w:eastAsia="zh-CN"/>
        </w:rPr>
      </w:pPr>
      <w:r>
        <w:rPr>
          <w:rFonts w:hint="eastAsia" w:ascii="方正小标宋简体" w:hAnsi="方正小标宋简体" w:eastAsia="方正小标宋简体" w:cs="方正小标宋简体"/>
          <w:b w:val="0"/>
          <w:bCs/>
          <w:color w:val="auto"/>
          <w:sz w:val="44"/>
          <w:szCs w:val="22"/>
          <w:lang w:val="en-US" w:eastAsia="zh-CN"/>
        </w:rPr>
        <w:t>关于《吉首</w:t>
      </w:r>
      <w:bookmarkStart w:id="0" w:name="_GoBack"/>
      <w:bookmarkEnd w:id="0"/>
      <w:r>
        <w:rPr>
          <w:rFonts w:hint="eastAsia" w:ascii="方正小标宋简体" w:hAnsi="方正小标宋简体" w:eastAsia="方正小标宋简体" w:cs="方正小标宋简体"/>
          <w:b w:val="0"/>
          <w:bCs/>
          <w:color w:val="auto"/>
          <w:sz w:val="44"/>
          <w:szCs w:val="22"/>
          <w:lang w:val="en-US" w:eastAsia="zh-CN"/>
        </w:rPr>
        <w:t>市分布式光伏发电项目管理办法》的政策解读</w:t>
      </w:r>
    </w:p>
    <w:p>
      <w:pPr>
        <w:spacing w:line="590" w:lineRule="exact"/>
        <w:ind w:firstLine="640" w:firstLineChars="200"/>
        <w:jc w:val="both"/>
        <w:rPr>
          <w:rFonts w:hint="eastAsia" w:ascii="Times New Roman" w:hAnsi="Times New Roman" w:eastAsia="仿宋_GB2312" w:cs="Times New Roman"/>
          <w:color w:val="auto"/>
          <w:sz w:val="32"/>
          <w:szCs w:val="22"/>
          <w:highlight w:val="none"/>
          <w:lang w:val="en-US" w:eastAsia="zh-CN"/>
        </w:rPr>
      </w:pPr>
    </w:p>
    <w:p>
      <w:pPr>
        <w:pStyle w:val="3"/>
        <w:keepNext/>
        <w:keepLines/>
        <w:pageBreakBefore w:val="0"/>
        <w:widowControl w:val="0"/>
        <w:numPr>
          <w:ilvl w:val="1"/>
          <w:numId w:val="0"/>
        </w:numPr>
        <w:tabs>
          <w:tab w:val="left" w:pos="0"/>
          <w:tab w:val="clear" w:pos="420"/>
        </w:tabs>
        <w:kinsoku/>
        <w:wordWrap/>
        <w:overflowPunct/>
        <w:topLinePunct w:val="0"/>
        <w:autoSpaceDE/>
        <w:autoSpaceDN/>
        <w:bidi w:val="0"/>
        <w:adjustRightInd/>
        <w:snapToGrid/>
        <w:spacing w:before="0" w:beforeLines="0" w:beforeAutospacing="0" w:after="0" w:afterLines="0" w:afterAutospacing="0" w:line="520" w:lineRule="exact"/>
        <w:ind w:leftChars="0" w:right="0" w:rightChars="0" w:firstLine="643" w:firstLineChars="200"/>
        <w:jc w:val="both"/>
        <w:textAlignment w:val="auto"/>
        <w:rPr>
          <w:rFonts w:hint="eastAsia" w:ascii="Arial" w:hAnsi="Arial" w:eastAsia="黑体" w:cs="Times New Roman"/>
          <w:bCs w:val="0"/>
          <w:color w:val="auto"/>
          <w:sz w:val="32"/>
          <w:szCs w:val="32"/>
        </w:rPr>
      </w:pPr>
      <w:r>
        <w:rPr>
          <w:rFonts w:hint="eastAsia" w:ascii="Arial" w:hAnsi="Arial" w:eastAsia="黑体" w:cs="Times New Roman"/>
          <w:bCs w:val="0"/>
          <w:color w:val="auto"/>
          <w:sz w:val="32"/>
          <w:szCs w:val="32"/>
          <w:lang w:val="en-US" w:eastAsia="zh-CN"/>
        </w:rPr>
        <w:t>一、</w:t>
      </w:r>
      <w:r>
        <w:rPr>
          <w:rFonts w:hint="eastAsia" w:ascii="Arial" w:hAnsi="Arial" w:eastAsia="黑体" w:cs="Times New Roman"/>
          <w:bCs w:val="0"/>
          <w:color w:val="auto"/>
          <w:sz w:val="32"/>
          <w:szCs w:val="32"/>
        </w:rPr>
        <w:t>《吉首市分布式光伏发电项目管理办法征》</w:t>
      </w:r>
      <w:r>
        <w:rPr>
          <w:rFonts w:hint="eastAsia" w:ascii="Arial" w:hAnsi="Arial" w:eastAsia="黑体" w:cs="Times New Roman"/>
          <w:bCs w:val="0"/>
          <w:color w:val="auto"/>
          <w:sz w:val="32"/>
          <w:szCs w:val="32"/>
          <w:lang w:val="en-US" w:eastAsia="zh-CN"/>
        </w:rPr>
        <w:t>的起草</w:t>
      </w:r>
      <w:r>
        <w:rPr>
          <w:rFonts w:hint="eastAsia" w:ascii="Arial" w:hAnsi="Arial" w:eastAsia="黑体" w:cs="Times New Roman"/>
          <w:bCs w:val="0"/>
          <w:color w:val="auto"/>
          <w:sz w:val="32"/>
          <w:szCs w:val="32"/>
        </w:rPr>
        <w:t>背景</w:t>
      </w:r>
      <w:r>
        <w:rPr>
          <w:rFonts w:hint="eastAsia" w:ascii="Arial" w:hAnsi="Arial" w:eastAsia="黑体" w:cs="Times New Roman"/>
          <w:bCs w:val="0"/>
          <w:color w:val="auto"/>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1"/>
        <w:jc w:val="both"/>
        <w:textAlignment w:val="auto"/>
        <w:rPr>
          <w:rFonts w:hint="eastAsia" w:ascii="仿宋" w:hAnsi="仿宋" w:eastAsia="仿宋" w:cs="仿宋"/>
          <w:snapToGrid/>
          <w:color w:val="000000" w:themeColor="text1"/>
          <w:kern w:val="0"/>
          <w:sz w:val="32"/>
          <w:szCs w:val="32"/>
          <w:lang w:val="en-US" w:eastAsia="zh-CN"/>
          <w14:textFill>
            <w14:solidFill>
              <w14:schemeClr w14:val="tx1"/>
            </w14:solidFill>
          </w14:textFill>
        </w:rPr>
      </w:pPr>
      <w:r>
        <w:rPr>
          <w:rFonts w:hint="eastAsia" w:ascii="黑体" w:hAnsi="黑体" w:eastAsia="黑体" w:cs="黑体"/>
          <w:i w:val="0"/>
          <w:iCs w:val="0"/>
          <w:caps w:val="0"/>
          <w:color w:val="auto"/>
          <w:spacing w:val="0"/>
          <w:sz w:val="32"/>
          <w:szCs w:val="32"/>
          <w:lang w:val="en-US" w:eastAsia="zh-CN"/>
        </w:rPr>
        <w:t>答：</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目前分布式光伏发电项目日益增多，光伏企业及授权代理商素质参差不齐，为规范分布式光伏建设项目的备案、建设、电网接入、监督管、运行管理，以促进我市光伏发电产业健康有序发展为此，急需规范制定我市分布式光伏发电项目管理办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1"/>
        <w:jc w:val="both"/>
        <w:textAlignment w:val="auto"/>
        <w:rPr>
          <w:rFonts w:hint="eastAsia" w:ascii="仿宋" w:hAnsi="仿宋" w:eastAsia="仿宋" w:cs="仿宋"/>
          <w:snapToGrid/>
          <w:color w:val="000000" w:themeColor="text1"/>
          <w:kern w:val="0"/>
          <w:sz w:val="32"/>
          <w:szCs w:val="32"/>
          <w:lang w:eastAsia="zh-CN"/>
          <w14:textFill>
            <w14:solidFill>
              <w14:schemeClr w14:val="tx1"/>
            </w14:solidFill>
          </w14:textFill>
        </w:rPr>
      </w:pPr>
      <w:r>
        <w:rPr>
          <w:rFonts w:hint="eastAsia" w:ascii="仿宋" w:hAnsi="仿宋" w:eastAsia="仿宋" w:cs="仿宋"/>
          <w:snapToGrid/>
          <w:color w:val="000000" w:themeColor="text1"/>
          <w:kern w:val="0"/>
          <w:sz w:val="32"/>
          <w:szCs w:val="32"/>
          <w:lang w:val="en-US" w:eastAsia="zh-CN"/>
          <w14:textFill>
            <w14:solidFill>
              <w14:schemeClr w14:val="tx1"/>
            </w14:solidFill>
          </w14:textFill>
        </w:rPr>
        <w:t>依据《国务院关于促进光伏产业健康发展的若干意见》(国发〔2013〕24号)、《国家能源局关于印发分布式光伏发电项目管理暂行办法的通知》(国能新能〔2013〕433号)、《湖南省发展和改革委员会、国家能源局湖南监管办公室、国网湖南省电力有限公司关于支持分布式光伏发展规范相关管理事项的通知》(湘发改能源〔</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2023〕</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858号）、《湖南省发展和改革委员会关于做好分布式光伏可开放容量管理有关事项的通知》（湘发改能源〔</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2024〕</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509号）《湖南省能源局关于分布式光伏发电项目电网接入管理有关事项的复函》、《湘西自治州发展和改革委员会关于规范湘西州分布式光伏发电项目开发工作的通知（试行）》（州发改能源〔</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2023〕</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390号）等有关文件精神等文件为指导，参考省级、州级相关分布式光伏</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发电项目的文件、湖南省企业投资项目核准和备案管理办法、《分布式光伏工程施工标准》、《分布式光伏工程验收标准》等政策文件，结合吉首市的实际制定了本办法。</w:t>
      </w:r>
    </w:p>
    <w:p>
      <w:pPr>
        <w:pStyle w:val="3"/>
        <w:keepNext/>
        <w:keepLines/>
        <w:pageBreakBefore w:val="0"/>
        <w:widowControl w:val="0"/>
        <w:numPr>
          <w:ilvl w:val="1"/>
          <w:numId w:val="0"/>
        </w:numPr>
        <w:tabs>
          <w:tab w:val="left" w:pos="0"/>
          <w:tab w:val="clear" w:pos="420"/>
        </w:tabs>
        <w:kinsoku/>
        <w:wordWrap/>
        <w:overflowPunct/>
        <w:topLinePunct w:val="0"/>
        <w:autoSpaceDE/>
        <w:autoSpaceDN/>
        <w:bidi w:val="0"/>
        <w:adjustRightInd/>
        <w:snapToGrid/>
        <w:spacing w:before="0" w:beforeLines="0" w:beforeAutospacing="0" w:after="0" w:afterLines="0" w:afterAutospacing="0" w:line="520" w:lineRule="exact"/>
        <w:ind w:leftChars="0" w:right="0" w:rightChars="0" w:firstLine="643" w:firstLineChars="200"/>
        <w:jc w:val="both"/>
        <w:textAlignment w:val="auto"/>
        <w:rPr>
          <w:rFonts w:hint="eastAsia" w:ascii="Arial" w:hAnsi="Arial" w:eastAsia="黑体" w:cs="Times New Roman"/>
          <w:bCs w:val="0"/>
          <w:color w:val="auto"/>
          <w:sz w:val="32"/>
          <w:szCs w:val="32"/>
          <w:lang w:eastAsia="zh-CN"/>
        </w:rPr>
      </w:pPr>
      <w:r>
        <w:rPr>
          <w:rFonts w:hint="eastAsia" w:ascii="Arial" w:hAnsi="Arial" w:eastAsia="黑体" w:cs="Times New Roman"/>
          <w:bCs w:val="0"/>
          <w:color w:val="auto"/>
          <w:sz w:val="32"/>
          <w:szCs w:val="32"/>
          <w:lang w:val="en-US" w:eastAsia="zh-CN"/>
        </w:rPr>
        <w:t>二</w:t>
      </w:r>
      <w:r>
        <w:rPr>
          <w:rFonts w:hint="eastAsia" w:ascii="Arial" w:hAnsi="Arial" w:eastAsia="黑体" w:cs="Times New Roman"/>
          <w:bCs w:val="0"/>
          <w:color w:val="auto"/>
          <w:sz w:val="32"/>
          <w:szCs w:val="32"/>
        </w:rPr>
        <w:t>、《吉首市分布式光伏发电项目管理办法征》</w:t>
      </w:r>
      <w:r>
        <w:rPr>
          <w:rFonts w:hint="eastAsia" w:ascii="Arial" w:hAnsi="Arial" w:eastAsia="黑体" w:cs="Times New Roman"/>
          <w:bCs w:val="0"/>
          <w:color w:val="auto"/>
          <w:sz w:val="32"/>
          <w:szCs w:val="32"/>
          <w:lang w:val="en-US" w:eastAsia="zh-CN"/>
        </w:rPr>
        <w:t>的</w:t>
      </w:r>
      <w:r>
        <w:rPr>
          <w:rFonts w:hint="eastAsia" w:ascii="Arial" w:hAnsi="Arial" w:eastAsia="黑体" w:cs="Times New Roman"/>
          <w:bCs w:val="0"/>
          <w:color w:val="auto"/>
          <w:sz w:val="32"/>
          <w:szCs w:val="32"/>
        </w:rPr>
        <w:t>主要内容</w:t>
      </w:r>
      <w:r>
        <w:rPr>
          <w:rFonts w:hint="eastAsia" w:ascii="Arial" w:hAnsi="Arial" w:eastAsia="黑体" w:cs="Times New Roman"/>
          <w:bCs w:val="0"/>
          <w:color w:val="auto"/>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1"/>
        <w:jc w:val="both"/>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黑体" w:hAnsi="黑体" w:eastAsia="黑体" w:cs="黑体"/>
          <w:i w:val="0"/>
          <w:iCs w:val="0"/>
          <w:caps w:val="0"/>
          <w:color w:val="auto"/>
          <w:spacing w:val="0"/>
          <w:kern w:val="0"/>
          <w:sz w:val="32"/>
          <w:szCs w:val="32"/>
          <w:lang w:val="en-US" w:eastAsia="zh-CN" w:bidi="ar"/>
        </w:rPr>
        <w:t>答：</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管理办法分为总则、项目备案、项目建设管理、电网接入和运行、计量与结算、运行维护和监督管理、法律责任、附则，共八章三十九条。1.总则。主要介绍分布式光伏分类和定义，分布式光伏发电可选择“全额上网、全部自用、自发自用余电上网”三种运营模式。2.项目备案。主要介绍分布式光伏项目备案权限和要求及程序，分布式发电项目备案流程、备案所需资料清单及接网流程。3.项目建设管理。明确了分布式光伏发电项目使用的光伏组件、逆变器的要求和承担项目设计、咨询、安装、接入和监理单位的资质要求，分布式光伏发电项目开工建设的条件，规定了11种禁止安装光伏组件的建筑和屋顶屋面情形，分布式光伏施工和验收标准。4.电网接入和运行。明确了分布式光伏发电</w:t>
      </w:r>
      <w:r>
        <w:rPr>
          <w:rFonts w:hint="default" w:ascii="仿宋" w:hAnsi="仿宋" w:eastAsia="仿宋" w:cs="仿宋"/>
          <w:snapToGrid/>
          <w:color w:val="000000" w:themeColor="text1"/>
          <w:kern w:val="0"/>
          <w:sz w:val="32"/>
          <w:szCs w:val="32"/>
          <w:lang w:val="en-US" w:eastAsia="zh-CN"/>
          <w14:textFill>
            <w14:solidFill>
              <w14:schemeClr w14:val="tx1"/>
            </w14:solidFill>
          </w14:textFill>
        </w:rPr>
        <w:t>并网</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接入申请程序，分布式光伏发电项目</w:t>
      </w:r>
      <w:r>
        <w:rPr>
          <w:rFonts w:hint="default" w:ascii="仿宋" w:hAnsi="仿宋" w:eastAsia="仿宋" w:cs="仿宋"/>
          <w:snapToGrid/>
          <w:color w:val="000000" w:themeColor="text1"/>
          <w:kern w:val="0"/>
          <w:sz w:val="32"/>
          <w:szCs w:val="32"/>
          <w:lang w:val="en-US" w:eastAsia="zh-CN"/>
          <w14:textFill>
            <w14:solidFill>
              <w14:schemeClr w14:val="tx1"/>
            </w14:solidFill>
          </w14:textFill>
        </w:rPr>
        <w:t>接入电网引起的公共电网改造部分</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和用户侧的配套工程的</w:t>
      </w:r>
      <w:r>
        <w:rPr>
          <w:rFonts w:hint="default" w:ascii="仿宋" w:hAnsi="仿宋" w:eastAsia="仿宋" w:cs="仿宋"/>
          <w:snapToGrid/>
          <w:color w:val="000000" w:themeColor="text1"/>
          <w:kern w:val="0"/>
          <w:sz w:val="32"/>
          <w:szCs w:val="32"/>
          <w:lang w:val="en-US" w:eastAsia="zh-CN"/>
          <w14:textFill>
            <w14:solidFill>
              <w14:schemeClr w14:val="tx1"/>
            </w14:solidFill>
          </w14:textFill>
        </w:rPr>
        <w:t>投资建设</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责任，分布式光伏电站运行要求，要求</w:t>
      </w:r>
      <w:r>
        <w:rPr>
          <w:rFonts w:hint="default" w:ascii="仿宋" w:hAnsi="仿宋" w:eastAsia="仿宋" w:cs="仿宋"/>
          <w:snapToGrid/>
          <w:color w:val="000000" w:themeColor="text1"/>
          <w:kern w:val="0"/>
          <w:sz w:val="32"/>
          <w:szCs w:val="32"/>
          <w:lang w:eastAsia="zh-CN"/>
          <w14:textFill>
            <w14:solidFill>
              <w14:schemeClr w14:val="tx1"/>
            </w14:solidFill>
          </w14:textFill>
        </w:rPr>
        <w:t>电网企业</w:t>
      </w:r>
      <w:r>
        <w:rPr>
          <w:rFonts w:hint="eastAsia" w:ascii="仿宋" w:hAnsi="仿宋" w:eastAsia="仿宋" w:cs="仿宋"/>
          <w:snapToGrid/>
          <w:color w:val="000000" w:themeColor="text1"/>
          <w:kern w:val="0"/>
          <w:sz w:val="32"/>
          <w:szCs w:val="32"/>
          <w:lang w:eastAsia="zh-CN"/>
          <w14:textFill>
            <w14:solidFill>
              <w14:schemeClr w14:val="tx1"/>
            </w14:solidFill>
          </w14:textFill>
        </w:rPr>
        <w:t>对</w:t>
      </w:r>
      <w:r>
        <w:rPr>
          <w:rFonts w:hint="default" w:ascii="仿宋" w:hAnsi="仿宋" w:eastAsia="仿宋" w:cs="仿宋"/>
          <w:snapToGrid/>
          <w:color w:val="000000" w:themeColor="text1"/>
          <w:kern w:val="0"/>
          <w:sz w:val="32"/>
          <w:szCs w:val="32"/>
          <w:lang w:eastAsia="zh-CN"/>
          <w14:textFill>
            <w14:solidFill>
              <w14:schemeClr w14:val="tx1"/>
            </w14:solidFill>
          </w14:textFill>
        </w:rPr>
        <w:t>分布式光伏发电并网运行监测</w:t>
      </w:r>
      <w:r>
        <w:rPr>
          <w:rFonts w:hint="eastAsia" w:ascii="仿宋" w:hAnsi="仿宋" w:eastAsia="仿宋" w:cs="仿宋"/>
          <w:snapToGrid/>
          <w:color w:val="000000" w:themeColor="text1"/>
          <w:kern w:val="0"/>
          <w:sz w:val="32"/>
          <w:szCs w:val="32"/>
          <w:lang w:eastAsia="zh-CN"/>
          <w14:textFill>
            <w14:solidFill>
              <w14:schemeClr w14:val="tx1"/>
            </w14:solidFill>
          </w14:textFill>
        </w:rPr>
        <w:t>，开展区域分布式光伏承载力评估和可接入容量测算。</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5.计量与结算。要求</w:t>
      </w:r>
      <w:r>
        <w:rPr>
          <w:rFonts w:hint="default" w:ascii="仿宋" w:hAnsi="仿宋" w:eastAsia="仿宋" w:cs="仿宋"/>
          <w:snapToGrid/>
          <w:color w:val="000000" w:themeColor="text1"/>
          <w:kern w:val="0"/>
          <w:sz w:val="32"/>
          <w:szCs w:val="32"/>
          <w:lang w:eastAsia="zh-CN"/>
          <w14:textFill>
            <w14:solidFill>
              <w14:schemeClr w14:val="tx1"/>
            </w14:solidFill>
          </w14:textFill>
        </w:rPr>
        <w:t>电网企业对分布式光伏发电项目的全部发电量、上网电量分别计量</w:t>
      </w:r>
      <w:r>
        <w:rPr>
          <w:rFonts w:hint="eastAsia" w:ascii="仿宋" w:hAnsi="仿宋" w:eastAsia="仿宋" w:cs="仿宋"/>
          <w:snapToGrid/>
          <w:color w:val="000000" w:themeColor="text1"/>
          <w:kern w:val="0"/>
          <w:sz w:val="32"/>
          <w:szCs w:val="32"/>
          <w:lang w:eastAsia="zh-CN"/>
          <w14:textFill>
            <w14:solidFill>
              <w14:schemeClr w14:val="tx1"/>
            </w14:solidFill>
          </w14:textFill>
        </w:rPr>
        <w:t>，</w:t>
      </w:r>
      <w:r>
        <w:rPr>
          <w:rFonts w:hint="default" w:ascii="仿宋" w:hAnsi="仿宋" w:eastAsia="仿宋" w:cs="仿宋"/>
          <w:snapToGrid/>
          <w:color w:val="000000" w:themeColor="text1"/>
          <w:kern w:val="0"/>
          <w:sz w:val="32"/>
          <w:szCs w:val="32"/>
          <w:lang w:eastAsia="zh-CN"/>
          <w14:textFill>
            <w14:solidFill>
              <w14:schemeClr w14:val="tx1"/>
            </w14:solidFill>
          </w14:textFill>
        </w:rPr>
        <w:t>在有关并网接入和运行等所有环节提供的服务均不</w:t>
      </w:r>
      <w:r>
        <w:rPr>
          <w:rFonts w:hint="eastAsia" w:ascii="仿宋" w:hAnsi="仿宋" w:eastAsia="仿宋" w:cs="仿宋"/>
          <w:snapToGrid/>
          <w:color w:val="000000" w:themeColor="text1"/>
          <w:kern w:val="0"/>
          <w:sz w:val="32"/>
          <w:szCs w:val="32"/>
          <w:lang w:eastAsia="zh-CN"/>
          <w14:textFill>
            <w14:solidFill>
              <w14:schemeClr w14:val="tx1"/>
            </w14:solidFill>
          </w14:textFill>
        </w:rPr>
        <w:t>得</w:t>
      </w:r>
      <w:r>
        <w:rPr>
          <w:rFonts w:hint="default" w:ascii="仿宋" w:hAnsi="仿宋" w:eastAsia="仿宋" w:cs="仿宋"/>
          <w:snapToGrid/>
          <w:color w:val="000000" w:themeColor="text1"/>
          <w:kern w:val="0"/>
          <w:sz w:val="32"/>
          <w:szCs w:val="32"/>
          <w:lang w:eastAsia="zh-CN"/>
          <w14:textFill>
            <w14:solidFill>
              <w14:schemeClr w14:val="tx1"/>
            </w14:solidFill>
          </w14:textFill>
        </w:rPr>
        <w:t>向项目单位收费</w:t>
      </w:r>
      <w:r>
        <w:rPr>
          <w:rFonts w:hint="eastAsia" w:ascii="仿宋" w:hAnsi="仿宋" w:eastAsia="仿宋" w:cs="仿宋"/>
          <w:snapToGrid/>
          <w:color w:val="000000" w:themeColor="text1"/>
          <w:kern w:val="0"/>
          <w:sz w:val="32"/>
          <w:szCs w:val="32"/>
          <w:lang w:eastAsia="zh-CN"/>
          <w14:textFill>
            <w14:solidFill>
              <w14:schemeClr w14:val="tx1"/>
            </w14:solidFill>
          </w14:textFill>
        </w:rPr>
        <w:t>，吉首</w:t>
      </w:r>
      <w:r>
        <w:rPr>
          <w:rFonts w:hint="default" w:ascii="仿宋" w:hAnsi="仿宋" w:eastAsia="仿宋" w:cs="仿宋"/>
          <w:snapToGrid/>
          <w:color w:val="000000" w:themeColor="text1"/>
          <w:kern w:val="0"/>
          <w:sz w:val="32"/>
          <w:szCs w:val="32"/>
          <w:lang w:eastAsia="zh-CN"/>
          <w14:textFill>
            <w14:solidFill>
              <w14:schemeClr w14:val="tx1"/>
            </w14:solidFill>
          </w14:textFill>
        </w:rPr>
        <w:t>经济开发区建设的分布式光伏发电项目余电上网部分可向该供电区内其他电力用户直接售电</w:t>
      </w:r>
      <w:r>
        <w:rPr>
          <w:rFonts w:hint="eastAsia" w:ascii="仿宋" w:hAnsi="仿宋" w:eastAsia="仿宋" w:cs="仿宋"/>
          <w:snapToGrid/>
          <w:color w:val="000000" w:themeColor="text1"/>
          <w:kern w:val="0"/>
          <w:sz w:val="32"/>
          <w:szCs w:val="32"/>
          <w:lang w:eastAsia="zh-CN"/>
          <w14:textFill>
            <w14:solidFill>
              <w14:schemeClr w14:val="tx1"/>
            </w14:solidFill>
          </w14:textFill>
        </w:rPr>
        <w:t>。</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6.运行维护和监督管理。明确了分布式光伏发电项目施工和运行安全的责任主体和吉首经开区、市直各部门、乡镇街道的</w:t>
      </w:r>
      <w:r>
        <w:rPr>
          <w:rFonts w:ascii="仿宋" w:hAnsi="仿宋" w:eastAsia="仿宋" w:cs="仿宋"/>
          <w:spacing w:val="-6"/>
          <w:sz w:val="33"/>
          <w:szCs w:val="33"/>
        </w:rPr>
        <w:t>安全监管责</w:t>
      </w:r>
      <w:r>
        <w:rPr>
          <w:rFonts w:hint="eastAsia" w:ascii="仿宋" w:hAnsi="仿宋" w:eastAsia="仿宋" w:cs="仿宋"/>
          <w:spacing w:val="-6"/>
          <w:sz w:val="33"/>
          <w:szCs w:val="33"/>
          <w:lang w:eastAsia="zh-CN"/>
        </w:rPr>
        <w:t>任</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。7.法律责任。对分布式光伏发电项目业主、设计单位、 承建单位、运行维护单位和电网企业违规行为纳入失信联合惩戒和</w:t>
      </w:r>
      <w:r>
        <w:rPr>
          <w:rFonts w:hint="default" w:ascii="仿宋" w:hAnsi="仿宋" w:eastAsia="仿宋" w:cs="仿宋"/>
          <w:snapToGrid/>
          <w:color w:val="000000" w:themeColor="text1"/>
          <w:kern w:val="0"/>
          <w:sz w:val="32"/>
          <w:szCs w:val="32"/>
          <w:lang w:eastAsia="zh-CN"/>
          <w14:textFill>
            <w14:solidFill>
              <w14:schemeClr w14:val="tx1"/>
            </w14:solidFill>
          </w14:textFill>
        </w:rPr>
        <w:t>承担经济赔偿责任</w:t>
      </w:r>
      <w:r>
        <w:rPr>
          <w:rFonts w:hint="eastAsia" w:ascii="仿宋" w:hAnsi="仿宋" w:eastAsia="仿宋" w:cs="仿宋"/>
          <w:snapToGrid/>
          <w:color w:val="000000" w:themeColor="text1"/>
          <w:kern w:val="0"/>
          <w:sz w:val="32"/>
          <w:szCs w:val="32"/>
          <w:lang w:eastAsia="zh-CN"/>
          <w14:textFill>
            <w14:solidFill>
              <w14:schemeClr w14:val="tx1"/>
            </w14:solidFill>
          </w14:textFill>
        </w:rPr>
        <w:t>。</w:t>
      </w:r>
      <w:r>
        <w:rPr>
          <w:rFonts w:hint="eastAsia" w:ascii="仿宋" w:hAnsi="仿宋" w:eastAsia="仿宋" w:cs="仿宋"/>
          <w:snapToGrid/>
          <w:color w:val="000000" w:themeColor="text1"/>
          <w:kern w:val="0"/>
          <w:sz w:val="32"/>
          <w:szCs w:val="32"/>
          <w:lang w:val="en-US" w:eastAsia="zh-CN"/>
          <w14:textFill>
            <w14:solidFill>
              <w14:schemeClr w14:val="tx1"/>
            </w14:solidFill>
          </w14:textFill>
        </w:rPr>
        <w:t>8.附则。本办法由吉首市发展和改革局负责解释，自印发之日起施行。</w:t>
      </w:r>
      <w:r>
        <w:rPr>
          <w:rFonts w:hint="eastAsia" w:ascii="Times New Roman" w:hAnsi="Times New Roman" w:eastAsia="仿宋_GB2312" w:cs="Times New Roman"/>
          <w:color w:val="auto"/>
          <w:sz w:val="32"/>
          <w:szCs w:val="22"/>
          <w:highlight w:val="none"/>
          <w:lang w:val="en-US" w:eastAsia="zh-CN"/>
        </w:rPr>
        <w:t>。</w:t>
      </w:r>
    </w:p>
    <w:p>
      <w:pPr>
        <w:pStyle w:val="3"/>
        <w:keepNext/>
        <w:keepLines/>
        <w:pageBreakBefore w:val="0"/>
        <w:widowControl w:val="0"/>
        <w:numPr>
          <w:ilvl w:val="1"/>
          <w:numId w:val="0"/>
        </w:numPr>
        <w:tabs>
          <w:tab w:val="left" w:pos="0"/>
          <w:tab w:val="clear" w:pos="420"/>
        </w:tabs>
        <w:kinsoku/>
        <w:wordWrap/>
        <w:overflowPunct/>
        <w:topLinePunct w:val="0"/>
        <w:autoSpaceDE/>
        <w:autoSpaceDN/>
        <w:bidi w:val="0"/>
        <w:adjustRightInd/>
        <w:snapToGrid/>
        <w:spacing w:before="0" w:beforeLines="0" w:beforeAutospacing="0" w:after="0" w:afterLines="0" w:afterAutospacing="0" w:line="520" w:lineRule="exact"/>
        <w:ind w:leftChars="0" w:right="0" w:rightChars="0" w:firstLine="643" w:firstLineChars="200"/>
        <w:jc w:val="both"/>
        <w:textAlignment w:val="auto"/>
        <w:rPr>
          <w:rFonts w:hint="eastAsia" w:ascii="Arial" w:hAnsi="Arial" w:eastAsia="黑体" w:cs="Times New Roman"/>
          <w:bCs w:val="0"/>
          <w:color w:val="auto"/>
          <w:sz w:val="32"/>
          <w:szCs w:val="32"/>
          <w:lang w:val="en-US" w:eastAsia="zh-CN"/>
        </w:rPr>
      </w:pPr>
      <w:r>
        <w:rPr>
          <w:rFonts w:hint="eastAsia" w:ascii="Arial" w:hAnsi="Arial" w:eastAsia="黑体" w:cs="Times New Roman"/>
          <w:bCs w:val="0"/>
          <w:color w:val="auto"/>
          <w:sz w:val="32"/>
          <w:szCs w:val="32"/>
          <w:lang w:val="en-US" w:eastAsia="zh-CN"/>
        </w:rPr>
        <w:t>三、《吉首市碳达峰实施方案》的解读机关、解读人及联系方式？</w:t>
      </w:r>
    </w:p>
    <w:p>
      <w:pPr>
        <w:spacing w:line="590" w:lineRule="exact"/>
        <w:ind w:firstLine="640" w:firstLineChars="200"/>
        <w:jc w:val="both"/>
        <w:rPr>
          <w:rFonts w:hint="eastAsia" w:ascii="Times New Roman" w:hAnsi="Times New Roman" w:eastAsia="仿宋_GB2312" w:cs="Times New Roman"/>
          <w:color w:val="auto"/>
          <w:sz w:val="32"/>
          <w:szCs w:val="22"/>
          <w:highlight w:val="none"/>
          <w:lang w:val="en-US" w:eastAsia="zh-CN"/>
        </w:rPr>
      </w:pPr>
      <w:r>
        <w:rPr>
          <w:rFonts w:hint="eastAsia" w:ascii="Times New Roman" w:hAnsi="Times New Roman" w:eastAsia="仿宋_GB2312" w:cs="Times New Roman"/>
          <w:color w:val="auto"/>
          <w:sz w:val="32"/>
          <w:szCs w:val="22"/>
          <w:highlight w:val="none"/>
          <w:lang w:val="en-US" w:eastAsia="zh-CN"/>
        </w:rPr>
        <w:t>解读机关：吉首市发展和改革局</w:t>
      </w:r>
    </w:p>
    <w:p>
      <w:pPr>
        <w:spacing w:line="590" w:lineRule="exact"/>
        <w:ind w:firstLine="640" w:firstLineChars="200"/>
        <w:jc w:val="both"/>
        <w:rPr>
          <w:rFonts w:hint="eastAsia" w:ascii="Times New Roman" w:hAnsi="Times New Roman" w:eastAsia="仿宋_GB2312" w:cs="Times New Roman"/>
          <w:color w:val="auto"/>
          <w:sz w:val="32"/>
          <w:szCs w:val="22"/>
          <w:highlight w:val="none"/>
          <w:lang w:val="en-US" w:eastAsia="zh-CN"/>
        </w:rPr>
      </w:pPr>
      <w:r>
        <w:rPr>
          <w:rFonts w:hint="eastAsia" w:ascii="Times New Roman" w:hAnsi="Times New Roman" w:eastAsia="仿宋_GB2312" w:cs="Times New Roman"/>
          <w:color w:val="auto"/>
          <w:sz w:val="32"/>
          <w:szCs w:val="22"/>
          <w:highlight w:val="none"/>
          <w:lang w:val="en-US" w:eastAsia="zh-CN"/>
        </w:rPr>
        <w:t>解读人：马莉</w:t>
      </w:r>
    </w:p>
    <w:p>
      <w:pPr>
        <w:spacing w:line="590" w:lineRule="exact"/>
        <w:ind w:firstLine="640" w:firstLineChars="200"/>
        <w:jc w:val="both"/>
        <w:rPr>
          <w:rFonts w:hint="default" w:ascii="Times New Roman" w:hAnsi="Times New Roman" w:eastAsia="仿宋_GB2312" w:cs="Times New Roman"/>
          <w:color w:val="auto"/>
          <w:sz w:val="32"/>
          <w:szCs w:val="22"/>
          <w:highlight w:val="none"/>
          <w:lang w:val="en-US" w:eastAsia="zh-CN"/>
        </w:rPr>
      </w:pPr>
      <w:r>
        <w:rPr>
          <w:rFonts w:hint="eastAsia" w:ascii="Times New Roman" w:hAnsi="Times New Roman" w:eastAsia="仿宋_GB2312" w:cs="Times New Roman"/>
          <w:color w:val="auto"/>
          <w:sz w:val="32"/>
          <w:szCs w:val="22"/>
          <w:highlight w:val="none"/>
          <w:lang w:val="en-US" w:eastAsia="zh-CN"/>
        </w:rPr>
        <w:t>联系电话：13762169986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47987"/>
    <w:multiLevelType w:val="multilevel"/>
    <w:tmpl w:val="CCB47987"/>
    <w:lvl w:ilvl="0" w:tentative="0">
      <w:start w:val="1"/>
      <w:numFmt w:val="decimal"/>
      <w:pStyle w:val="2"/>
      <w:suff w:val="nothing"/>
      <w:lvlText w:val="第%1章 "/>
      <w:lvlJc w:val="left"/>
      <w:pPr>
        <w:tabs>
          <w:tab w:val="left" w:pos="0"/>
        </w:tabs>
        <w:ind w:left="432" w:hanging="432"/>
      </w:pPr>
      <w:rPr>
        <w:rFonts w:hint="default" w:ascii="华文中宋" w:hAnsi="华文中宋" w:eastAsia="华文中宋" w:cs="华文中宋"/>
        <w:b/>
        <w:bCs/>
        <w:sz w:val="36"/>
        <w:szCs w:val="36"/>
      </w:rPr>
    </w:lvl>
    <w:lvl w:ilvl="1" w:tentative="0">
      <w:start w:val="1"/>
      <w:numFmt w:val="decimal"/>
      <w:isLgl/>
      <w:suff w:val="nothing"/>
      <w:lvlText w:val="%1.%2 "/>
      <w:lvlJc w:val="left"/>
      <w:pPr>
        <w:tabs>
          <w:tab w:val="left" w:pos="0"/>
        </w:tabs>
        <w:ind w:left="0" w:leftChars="0" w:firstLine="0" w:firstLineChars="0"/>
      </w:pPr>
      <w:rPr>
        <w:rFonts w:hint="eastAsia" w:ascii="华文中宋" w:hAnsi="华文中宋" w:eastAsia="华文中宋" w:cs="华文中宋"/>
        <w:b/>
        <w:bCs/>
        <w:sz w:val="32"/>
        <w:szCs w:val="32"/>
      </w:rPr>
    </w:lvl>
    <w:lvl w:ilvl="2" w:tentative="0">
      <w:start w:val="1"/>
      <w:numFmt w:val="decimal"/>
      <w:isLgl/>
      <w:suff w:val="nothing"/>
      <w:lvlText w:val="%1.%2.%3 "/>
      <w:lvlJc w:val="left"/>
      <w:pPr>
        <w:tabs>
          <w:tab w:val="left" w:pos="0"/>
        </w:tabs>
        <w:ind w:left="0" w:leftChars="0" w:firstLine="0" w:firstLineChars="0"/>
      </w:pPr>
      <w:rPr>
        <w:rFonts w:hint="eastAsia" w:ascii="华文中宋" w:hAnsi="华文中宋" w:eastAsia="华文中宋" w:cs="华文中宋"/>
        <w:b/>
        <w:bCs/>
        <w:sz w:val="30"/>
        <w:szCs w:val="30"/>
      </w:rPr>
    </w:lvl>
    <w:lvl w:ilvl="3" w:tentative="0">
      <w:start w:val="1"/>
      <w:numFmt w:val="decimal"/>
      <w:isLgl/>
      <w:suff w:val="nothing"/>
      <w:lvlText w:val="%1.%2.%3.%4 "/>
      <w:lvlJc w:val="left"/>
      <w:pPr>
        <w:tabs>
          <w:tab w:val="left" w:pos="0"/>
        </w:tabs>
        <w:ind w:left="0" w:leftChars="0" w:firstLine="0" w:firstLineChars="0"/>
      </w:pPr>
      <w:rPr>
        <w:rFonts w:hint="eastAsia" w:ascii="宋体" w:hAnsi="宋体" w:eastAsia="宋体" w:cs="宋体"/>
        <w:b/>
        <w:bCs/>
        <w:sz w:val="28"/>
        <w:szCs w:val="28"/>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60B2711B"/>
    <w:multiLevelType w:val="multilevel"/>
    <w:tmpl w:val="60B2711B"/>
    <w:lvl w:ilvl="0" w:tentative="0">
      <w:start w:val="1"/>
      <w:numFmt w:val="chineseCounting"/>
      <w:suff w:val="nothing"/>
      <w:lvlText w:val="第%1章　"/>
      <w:lvlJc w:val="left"/>
      <w:pPr>
        <w:ind w:left="0" w:firstLine="402"/>
      </w:pPr>
      <w:rPr>
        <w:rFonts w:hint="eastAsia" w:ascii="宋体" w:hAnsi="宋体" w:eastAsia="宋体" w:cs="宋体"/>
      </w:rPr>
    </w:lvl>
    <w:lvl w:ilvl="1" w:tentative="0">
      <w:start w:val="1"/>
      <w:numFmt w:val="chineseCounting"/>
      <w:lvlRestart w:val="0"/>
      <w:pStyle w:val="3"/>
      <w:suff w:val="nothing"/>
      <w:lvlText w:val="第%2条　"/>
      <w:lvlJc w:val="left"/>
      <w:pPr>
        <w:tabs>
          <w:tab w:val="left" w:pos="0"/>
        </w:tabs>
        <w:ind w:left="0" w:firstLine="0"/>
      </w:pPr>
      <w:rPr>
        <w:rFonts w:hint="eastAsia" w:ascii="华文中宋" w:hAnsi="华文中宋" w:eastAsia="华文中宋" w:cs="华文中宋"/>
        <w:b/>
        <w:bCs/>
        <w:sz w:val="32"/>
        <w:szCs w:val="32"/>
      </w:rPr>
    </w:lvl>
    <w:lvl w:ilvl="2" w:tentative="0">
      <w:start w:val="1"/>
      <w:numFmt w:val="chineseCounting"/>
      <w:suff w:val="nothing"/>
      <w:lvlText w:val="%3　"/>
      <w:lvlJc w:val="left"/>
      <w:pPr>
        <w:tabs>
          <w:tab w:val="left" w:pos="0"/>
        </w:tabs>
        <w:ind w:left="-192"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OGIzM2EwMTRiNjUwMjFkNzJlZDdmMTQ3ZjdmYjQifQ=="/>
  </w:docVars>
  <w:rsids>
    <w:rsidRoot w:val="00000000"/>
    <w:rsid w:val="08CD0D4A"/>
    <w:rsid w:val="16332B68"/>
    <w:rsid w:val="16B63469"/>
    <w:rsid w:val="1B764936"/>
    <w:rsid w:val="209A0536"/>
    <w:rsid w:val="30705B08"/>
    <w:rsid w:val="33407EE8"/>
    <w:rsid w:val="3AB92FEC"/>
    <w:rsid w:val="3B1B24A3"/>
    <w:rsid w:val="468D3398"/>
    <w:rsid w:val="4C8D52A2"/>
    <w:rsid w:val="538271F1"/>
    <w:rsid w:val="5EDF302C"/>
    <w:rsid w:val="67987117"/>
    <w:rsid w:val="6AA62BF8"/>
    <w:rsid w:val="6EEB55FE"/>
    <w:rsid w:val="776D306C"/>
    <w:rsid w:val="7BA2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line="360" w:lineRule="auto"/>
      <w:ind w:left="0" w:firstLine="0" w:firstLineChars="0"/>
      <w:jc w:val="center"/>
      <w:outlineLvl w:val="0"/>
    </w:pPr>
    <w:rPr>
      <w:rFonts w:ascii="华文中宋" w:hAnsi="华文中宋" w:eastAsia="华文中宋" w:cs="华文中宋"/>
      <w:b/>
      <w:bCs/>
      <w:kern w:val="44"/>
      <w:sz w:val="36"/>
      <w:szCs w:val="36"/>
    </w:rPr>
  </w:style>
  <w:style w:type="paragraph" w:styleId="3">
    <w:name w:val="heading 2"/>
    <w:basedOn w:val="1"/>
    <w:next w:val="1"/>
    <w:semiHidden/>
    <w:unhideWhenUsed/>
    <w:qFormat/>
    <w:uiPriority w:val="0"/>
    <w:pPr>
      <w:keepNext/>
      <w:keepLines/>
      <w:numPr>
        <w:ilvl w:val="1"/>
        <w:numId w:val="2"/>
      </w:numPr>
      <w:tabs>
        <w:tab w:val="left" w:pos="420"/>
        <w:tab w:val="clear" w:pos="0"/>
      </w:tabs>
      <w:snapToGrid w:val="0"/>
      <w:spacing w:before="50" w:beforeLines="50" w:beforeAutospacing="0" w:after="50" w:afterLines="50" w:afterAutospacing="0" w:line="360" w:lineRule="auto"/>
      <w:ind w:left="0" w:firstLine="0"/>
      <w:outlineLvl w:val="1"/>
    </w:pPr>
    <w:rPr>
      <w:rFonts w:ascii="华文中宋" w:hAnsi="华文中宋" w:eastAsia="华文中宋" w:cs="华文中宋"/>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1"/>
    <w:semiHidden/>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unhideWhenUsed/>
    <w:qFormat/>
    <w:uiPriority w:val="99"/>
    <w:pPr>
      <w:ind w:firstLine="420"/>
    </w:pPr>
    <w:rPr>
      <w:rFonts w:ascii="Times New Roman" w:hAnsi="Times New Roman" w:eastAsia="宋体" w:cs="Times New Roman"/>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2023-11-15T01:00:00Z</dcterms:created>
  <dc:creator>Administrator</dc:creator>
  <cp:lastModifiedBy>罗任</cp:lastModifiedBy>
  <dcterms:modified xsi:type="dcterms:W3CDTF">2024-07-29T01:47:02Z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A223B8BEA6D5404B88CF04A50883EC16_12</vt:lpwstr>
  </property>
</Properties>
</file>