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596D8">
      <w:pPr>
        <w:pStyle w:val="2"/>
        <w:rPr>
          <w:rFonts w:hint="eastAsia"/>
          <w:color w:val="auto"/>
          <w:lang w:val="en-US" w:eastAsia="zh-CN"/>
        </w:rPr>
      </w:pPr>
    </w:p>
    <w:p w14:paraId="572A1E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关于吉首市2024年国民经济和社会发展</w:t>
      </w:r>
    </w:p>
    <w:p w14:paraId="06467DBE">
      <w:pPr>
        <w:pStyle w:val="9"/>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计划执行情况与2025年计划草案的报告(摘要</w:t>
      </w:r>
      <w:bookmarkStart w:id="0" w:name="_GoBack"/>
      <w:bookmarkEnd w:id="0"/>
      <w:r>
        <w:rPr>
          <w:rFonts w:hint="eastAsia" w:ascii="方正小标宋简体" w:hAnsi="方正小标宋简体" w:eastAsia="方正小标宋简体" w:cs="方正小标宋简体"/>
          <w:color w:val="auto"/>
          <w:sz w:val="44"/>
          <w:szCs w:val="44"/>
          <w:lang w:val="en-US" w:eastAsia="zh-CN"/>
        </w:rPr>
        <w:t>)</w:t>
      </w:r>
    </w:p>
    <w:p w14:paraId="2F99328C">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楷体_GB2312" w:hAnsi="楷体_GB2312" w:eastAsia="楷体_GB2312" w:cs="楷体_GB2312"/>
          <w:color w:val="auto"/>
          <w:spacing w:val="-11"/>
          <w:w w:val="100"/>
          <w:sz w:val="30"/>
          <w:szCs w:val="30"/>
          <w:u w:val="none"/>
          <w:lang w:val="zh-CN"/>
        </w:rPr>
      </w:pPr>
      <w:r>
        <w:rPr>
          <w:rFonts w:hint="eastAsia" w:ascii="楷体_GB2312" w:hAnsi="楷体_GB2312" w:eastAsia="楷体_GB2312" w:cs="楷体_GB2312"/>
          <w:color w:val="auto"/>
          <w:spacing w:val="-11"/>
          <w:w w:val="100"/>
          <w:sz w:val="30"/>
          <w:szCs w:val="30"/>
          <w:u w:val="none"/>
        </w:rPr>
        <w:t>——</w:t>
      </w:r>
      <w:r>
        <w:rPr>
          <w:rFonts w:hint="eastAsia" w:ascii="楷体_GB2312" w:hAnsi="楷体_GB2312" w:eastAsia="楷体_GB2312" w:cs="楷体_GB2312"/>
          <w:color w:val="auto"/>
          <w:spacing w:val="-11"/>
          <w:w w:val="100"/>
          <w:sz w:val="30"/>
          <w:szCs w:val="30"/>
          <w:u w:val="none"/>
          <w:lang w:eastAsia="zh-CN"/>
        </w:rPr>
        <w:t>202</w:t>
      </w:r>
      <w:r>
        <w:rPr>
          <w:rFonts w:hint="eastAsia" w:ascii="楷体_GB2312" w:hAnsi="楷体_GB2312" w:eastAsia="楷体_GB2312" w:cs="楷体_GB2312"/>
          <w:color w:val="auto"/>
          <w:spacing w:val="-11"/>
          <w:w w:val="100"/>
          <w:sz w:val="30"/>
          <w:szCs w:val="30"/>
          <w:u w:val="none"/>
          <w:lang w:val="en-US" w:eastAsia="zh-CN"/>
        </w:rPr>
        <w:t>4</w:t>
      </w:r>
      <w:r>
        <w:rPr>
          <w:rFonts w:hint="eastAsia" w:ascii="楷体_GB2312" w:hAnsi="楷体_GB2312" w:eastAsia="楷体_GB2312" w:cs="楷体_GB2312"/>
          <w:color w:val="auto"/>
          <w:spacing w:val="-11"/>
          <w:w w:val="100"/>
          <w:sz w:val="30"/>
          <w:szCs w:val="30"/>
          <w:u w:val="none"/>
        </w:rPr>
        <w:t>年</w:t>
      </w:r>
      <w:r>
        <w:rPr>
          <w:rFonts w:hint="eastAsia" w:ascii="楷体_GB2312" w:hAnsi="楷体_GB2312" w:eastAsia="楷体_GB2312" w:cs="楷体_GB2312"/>
          <w:color w:val="auto"/>
          <w:spacing w:val="-11"/>
          <w:w w:val="100"/>
          <w:sz w:val="30"/>
          <w:szCs w:val="30"/>
          <w:u w:val="none"/>
          <w:lang w:val="en-US" w:eastAsia="zh-CN"/>
        </w:rPr>
        <w:t>12</w:t>
      </w:r>
      <w:r>
        <w:rPr>
          <w:rFonts w:hint="eastAsia" w:ascii="楷体_GB2312" w:hAnsi="楷体_GB2312" w:eastAsia="楷体_GB2312" w:cs="楷体_GB2312"/>
          <w:color w:val="auto"/>
          <w:spacing w:val="-11"/>
          <w:w w:val="100"/>
          <w:sz w:val="30"/>
          <w:szCs w:val="30"/>
          <w:u w:val="none"/>
        </w:rPr>
        <w:t>月</w:t>
      </w:r>
      <w:r>
        <w:rPr>
          <w:rFonts w:hint="eastAsia" w:ascii="楷体_GB2312" w:hAnsi="楷体_GB2312" w:eastAsia="楷体_GB2312" w:cs="楷体_GB2312"/>
          <w:color w:val="auto"/>
          <w:spacing w:val="-11"/>
          <w:w w:val="100"/>
          <w:sz w:val="30"/>
          <w:szCs w:val="30"/>
          <w:u w:val="none"/>
          <w:lang w:val="en-US" w:eastAsia="zh-CN"/>
        </w:rPr>
        <w:t>21日</w:t>
      </w:r>
      <w:r>
        <w:rPr>
          <w:rFonts w:hint="eastAsia" w:ascii="楷体_GB2312" w:hAnsi="楷体_GB2312" w:eastAsia="楷体_GB2312" w:cs="楷体_GB2312"/>
          <w:color w:val="auto"/>
          <w:spacing w:val="-11"/>
          <w:w w:val="100"/>
          <w:sz w:val="30"/>
          <w:szCs w:val="30"/>
          <w:u w:val="none"/>
        </w:rPr>
        <w:t>在</w:t>
      </w:r>
      <w:r>
        <w:rPr>
          <w:rFonts w:hint="eastAsia" w:ascii="楷体_GB2312" w:hAnsi="楷体_GB2312" w:eastAsia="楷体_GB2312" w:cs="楷体_GB2312"/>
          <w:color w:val="auto"/>
          <w:spacing w:val="-11"/>
          <w:w w:val="100"/>
          <w:sz w:val="30"/>
          <w:szCs w:val="30"/>
        </w:rPr>
        <w:t>吉首市</w:t>
      </w:r>
      <w:r>
        <w:rPr>
          <w:rFonts w:hint="eastAsia" w:ascii="楷体_GB2312" w:hAnsi="楷体_GB2312" w:eastAsia="楷体_GB2312" w:cs="楷体_GB2312"/>
          <w:color w:val="auto"/>
          <w:spacing w:val="-11"/>
          <w:w w:val="100"/>
          <w:sz w:val="30"/>
          <w:szCs w:val="30"/>
          <w:lang w:eastAsia="zh-CN"/>
        </w:rPr>
        <w:t>第十一届人民代表大会第</w:t>
      </w:r>
      <w:r>
        <w:rPr>
          <w:rFonts w:hint="eastAsia" w:ascii="楷体_GB2312" w:hAnsi="楷体_GB2312" w:eastAsia="楷体_GB2312" w:cs="楷体_GB2312"/>
          <w:color w:val="auto"/>
          <w:spacing w:val="-11"/>
          <w:w w:val="100"/>
          <w:sz w:val="30"/>
          <w:szCs w:val="30"/>
          <w:lang w:val="en-US" w:eastAsia="zh-CN"/>
        </w:rPr>
        <w:t>五次</w:t>
      </w:r>
      <w:r>
        <w:rPr>
          <w:rFonts w:hint="eastAsia" w:ascii="楷体_GB2312" w:hAnsi="楷体_GB2312" w:eastAsia="楷体_GB2312" w:cs="楷体_GB2312"/>
          <w:color w:val="auto"/>
          <w:spacing w:val="-11"/>
          <w:w w:val="100"/>
          <w:sz w:val="30"/>
          <w:szCs w:val="30"/>
        </w:rPr>
        <w:t>会议上</w:t>
      </w:r>
    </w:p>
    <w:p w14:paraId="2EE8DD6B">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楷体_GB2312" w:hAnsi="楷体_GB2312" w:eastAsia="楷体_GB2312" w:cs="楷体_GB2312"/>
          <w:color w:val="auto"/>
          <w:spacing w:val="-6"/>
          <w:sz w:val="30"/>
          <w:szCs w:val="30"/>
          <w:lang w:eastAsia="zh-CN"/>
        </w:rPr>
      </w:pPr>
      <w:r>
        <w:rPr>
          <w:rFonts w:hint="eastAsia" w:ascii="楷体_GB2312" w:hAnsi="楷体_GB2312" w:eastAsia="楷体_GB2312" w:cs="楷体_GB2312"/>
          <w:color w:val="auto"/>
          <w:spacing w:val="-6"/>
          <w:sz w:val="30"/>
          <w:szCs w:val="30"/>
        </w:rPr>
        <w:t>吉首市发展和改革局</w:t>
      </w:r>
      <w:r>
        <w:rPr>
          <w:rFonts w:hint="eastAsia" w:ascii="楷体_GB2312" w:hAnsi="楷体_GB2312" w:eastAsia="楷体_GB2312" w:cs="楷体_GB2312"/>
          <w:color w:val="auto"/>
          <w:spacing w:val="-6"/>
          <w:sz w:val="30"/>
          <w:szCs w:val="30"/>
          <w:lang w:eastAsia="zh-CN"/>
        </w:rPr>
        <w:t>（市粮食和物质储备局）</w:t>
      </w:r>
    </w:p>
    <w:p w14:paraId="0D19EC20">
      <w:pPr>
        <w:pStyle w:val="2"/>
        <w:keepNext w:val="0"/>
        <w:keepLines w:val="0"/>
        <w:pageBreakBefore w:val="0"/>
        <w:widowControl w:val="0"/>
        <w:kinsoku/>
        <w:wordWrap/>
        <w:overflowPunct/>
        <w:topLinePunct w:val="0"/>
        <w:autoSpaceDE/>
        <w:autoSpaceDN/>
        <w:bidi w:val="0"/>
        <w:adjustRightInd/>
        <w:snapToGrid/>
        <w:spacing w:line="600" w:lineRule="exact"/>
        <w:rPr>
          <w:rFonts w:hint="eastAsia"/>
          <w:color w:val="auto"/>
          <w:lang w:eastAsia="zh-CN"/>
        </w:rPr>
      </w:pPr>
    </w:p>
    <w:p w14:paraId="16C17A31">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各位</w:t>
      </w:r>
      <w:r>
        <w:rPr>
          <w:rFonts w:hint="eastAsia" w:ascii="仿宋_GB2312" w:hAnsi="仿宋_GB2312" w:eastAsia="仿宋_GB2312" w:cs="仿宋_GB2312"/>
          <w:color w:val="auto"/>
          <w:sz w:val="32"/>
          <w:szCs w:val="32"/>
          <w:lang w:eastAsia="zh-CN"/>
        </w:rPr>
        <w:t>代表</w:t>
      </w:r>
      <w:r>
        <w:rPr>
          <w:rFonts w:hint="eastAsia" w:ascii="仿宋_GB2312" w:hAnsi="仿宋_GB2312" w:eastAsia="仿宋_GB2312" w:cs="仿宋_GB2312"/>
          <w:color w:val="auto"/>
          <w:sz w:val="32"/>
          <w:szCs w:val="32"/>
        </w:rPr>
        <w:t>：</w:t>
      </w:r>
    </w:p>
    <w:p w14:paraId="7EDE0920">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受市人民政府委托，</w:t>
      </w:r>
      <w:r>
        <w:rPr>
          <w:rFonts w:hint="eastAsia" w:ascii="仿宋_GB2312" w:hAnsi="仿宋_GB2312" w:eastAsia="仿宋_GB2312" w:cs="仿宋_GB2312"/>
          <w:color w:val="auto"/>
          <w:sz w:val="32"/>
          <w:szCs w:val="32"/>
        </w:rPr>
        <w:t>向大会报告全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2024年国民经济和社会发展计划执行情况与2025年计划草案</w:t>
      </w:r>
      <w:r>
        <w:rPr>
          <w:rFonts w:hint="eastAsia" w:ascii="仿宋_GB2312" w:hAnsi="仿宋_GB2312" w:eastAsia="仿宋_GB2312" w:cs="仿宋_GB2312"/>
          <w:color w:val="auto"/>
          <w:sz w:val="32"/>
          <w:szCs w:val="32"/>
        </w:rPr>
        <w:t>情况，请予审查，并请各位政协委员和其他列席会议人员提出意见。</w:t>
      </w:r>
    </w:p>
    <w:p w14:paraId="1271EE75">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一、2024年国民经济和社会发展计划执行情况</w:t>
      </w:r>
    </w:p>
    <w:p w14:paraId="716B5480">
      <w:pPr>
        <w:pStyle w:val="7"/>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2024</w:t>
      </w:r>
      <w:r>
        <w:rPr>
          <w:rFonts w:hint="eastAsia" w:ascii="仿宋_GB2312" w:hAnsi="仿宋_GB2312" w:eastAsia="仿宋_GB2312" w:cs="仿宋_GB2312"/>
          <w:color w:val="auto"/>
          <w:sz w:val="32"/>
          <w:szCs w:val="32"/>
        </w:rPr>
        <w:t>年，面对严峻复杂的国际环境和艰巨繁重的国内改革发展稳定任务，全市上下在市委、市政府的坚强领导下，在市人大、市政协的监督支持下，坚持以习近平新时代中国特色社会主义思想为指导，全面贯彻党的二十大和二十届</w:t>
      </w:r>
      <w:r>
        <w:rPr>
          <w:rFonts w:hint="eastAsia" w:ascii="仿宋_GB2312" w:hAnsi="仿宋_GB2312" w:eastAsia="仿宋_GB2312" w:cs="仿宋_GB2312"/>
          <w:color w:val="auto"/>
          <w:sz w:val="32"/>
          <w:szCs w:val="32"/>
          <w:lang w:eastAsia="zh-CN"/>
        </w:rPr>
        <w:t>三中</w:t>
      </w:r>
      <w:r>
        <w:rPr>
          <w:rFonts w:hint="eastAsia" w:ascii="仿宋_GB2312" w:hAnsi="仿宋_GB2312" w:eastAsia="仿宋_GB2312" w:cs="仿宋_GB2312"/>
          <w:color w:val="auto"/>
          <w:sz w:val="32"/>
          <w:szCs w:val="32"/>
        </w:rPr>
        <w:t>全会精神，认真落实中央</w:t>
      </w:r>
      <w:r>
        <w:rPr>
          <w:rFonts w:hint="eastAsia" w:ascii="仿宋_GB2312" w:hAnsi="仿宋_GB2312" w:eastAsia="仿宋_GB2312" w:cs="仿宋_GB2312"/>
          <w:color w:val="auto"/>
          <w:sz w:val="32"/>
          <w:szCs w:val="32"/>
          <w:lang w:eastAsia="zh-CN"/>
        </w:rPr>
        <w:t>、省、州、市</w:t>
      </w:r>
      <w:r>
        <w:rPr>
          <w:rFonts w:hint="eastAsia" w:ascii="仿宋_GB2312" w:hAnsi="仿宋_GB2312" w:eastAsia="仿宋_GB2312" w:cs="仿宋_GB2312"/>
          <w:color w:val="auto"/>
          <w:sz w:val="32"/>
          <w:szCs w:val="32"/>
        </w:rPr>
        <w:t>经济工作会议部署，高标准推进“八大行动”，做好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产业突围、城市更新、文旅赋能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等重点工作，</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rPr>
        <w:t>经济运行</w:t>
      </w:r>
      <w:r>
        <w:rPr>
          <w:rFonts w:hint="eastAsia" w:ascii="仿宋_GB2312" w:hAnsi="仿宋_GB2312" w:eastAsia="仿宋_GB2312" w:cs="仿宋_GB2312"/>
          <w:color w:val="auto"/>
          <w:sz w:val="32"/>
          <w:szCs w:val="32"/>
          <w:lang w:eastAsia="zh-CN"/>
        </w:rPr>
        <w:t>总体平稳、质效提升</w:t>
      </w:r>
      <w:r>
        <w:rPr>
          <w:rFonts w:hint="eastAsia" w:ascii="仿宋_GB2312" w:hAnsi="仿宋_GB2312" w:eastAsia="仿宋_GB2312" w:cs="仿宋_GB2312"/>
          <w:color w:val="auto"/>
          <w:sz w:val="32"/>
          <w:szCs w:val="32"/>
        </w:rPr>
        <w:t>，社会大局稳定。</w:t>
      </w:r>
    </w:p>
    <w:p w14:paraId="47093C9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（一）经济转型升级深入推进，高质量发展取得新进展。</w:t>
      </w:r>
    </w:p>
    <w:p w14:paraId="0308C83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一是新质生产力加快发展。</w:t>
      </w:r>
      <w:r>
        <w:rPr>
          <w:rFonts w:hint="eastAsia" w:ascii="仿宋_GB2312" w:hAnsi="仿宋_GB2312" w:eastAsia="仿宋_GB2312" w:cs="仿宋_GB2312"/>
          <w:color w:val="auto"/>
          <w:kern w:val="0"/>
          <w:sz w:val="32"/>
          <w:szCs w:val="32"/>
          <w:lang w:val="en-US" w:eastAsia="zh-CN" w:bidi="ar"/>
        </w:rPr>
        <w:t>完善“省级科技型中小企业-国家高新技术企业-专精特新小巨人企业”三级阶梯式培育机制，以科技创新赋能高质量发展。今年科技型中小企业备案240家，高新技术企业新增5家；完成技术合同成交登记额7.2亿元；新增专利授权量204件，其中发明专利37件、实用新型125件、外观设计42件，维护十年以上高价值专利26件。</w:t>
      </w:r>
    </w:p>
    <w:p w14:paraId="487FB1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二是产业结构不断优化。文旅产业不断融合。</w:t>
      </w:r>
      <w:r>
        <w:rPr>
          <w:rFonts w:hint="eastAsia" w:ascii="仿宋_GB2312" w:hAnsi="仿宋_GB2312" w:eastAsia="仿宋_GB2312" w:cs="仿宋_GB2312"/>
          <w:color w:val="auto"/>
          <w:kern w:val="0"/>
          <w:sz w:val="32"/>
          <w:szCs w:val="32"/>
          <w:lang w:val="en-US" w:eastAsia="zh-CN" w:bidi="ar"/>
        </w:rPr>
        <w:t>吉首市凭借“文旅+”各民族共同现代化方案，被确定为全国首批15个共同现代化试点范围之一，成为湖南省唯一获此殊荣的县市。矮寨·十八洞·德夯大峡谷景区在“五一”“国庆”期间跻身全省A级景区客流前10，获评“国家5A景区百强”。预计全年接待游客首次超2000万人次，旅游收入200亿元，同比分别增长15.7%、16.9%。</w:t>
      </w:r>
      <w:r>
        <w:rPr>
          <w:rFonts w:hint="eastAsia" w:ascii="仿宋_GB2312" w:hAnsi="仿宋_GB2312" w:eastAsia="仿宋_GB2312" w:cs="仿宋_GB2312"/>
          <w:b/>
          <w:bCs/>
          <w:color w:val="auto"/>
          <w:kern w:val="0"/>
          <w:sz w:val="32"/>
          <w:szCs w:val="32"/>
          <w:lang w:val="en-US" w:eastAsia="zh-CN" w:bidi="ar"/>
        </w:rPr>
        <w:t>特色农业不断壮大。</w:t>
      </w:r>
      <w:r>
        <w:rPr>
          <w:rFonts w:hint="eastAsia" w:ascii="仿宋_GB2312" w:hAnsi="仿宋_GB2312" w:eastAsia="仿宋_GB2312" w:cs="仿宋_GB2312"/>
          <w:b w:val="0"/>
          <w:bCs w:val="0"/>
          <w:color w:val="auto"/>
          <w:kern w:val="0"/>
          <w:sz w:val="32"/>
          <w:szCs w:val="32"/>
          <w:lang w:val="en-US" w:eastAsia="zh-CN" w:bidi="ar"/>
        </w:rPr>
        <w:t>全力做好“土特产”文章，多措并举推进“八大”农业特色产业发展，预计全年湘西黄金茶干茶产量1869吨、产值15亿元。累计培育州级以上农业龙头企业30个、示范合作社21家、家庭农场14个。全市农产品加工企业达331家，总产值82.31亿元。</w:t>
      </w:r>
      <w:r>
        <w:rPr>
          <w:rFonts w:hint="eastAsia" w:ascii="仿宋_GB2312" w:hAnsi="仿宋_GB2312" w:eastAsia="仿宋_GB2312" w:cs="仿宋_GB2312"/>
          <w:b/>
          <w:bCs/>
          <w:color w:val="auto"/>
          <w:kern w:val="0"/>
          <w:sz w:val="32"/>
          <w:szCs w:val="32"/>
          <w:lang w:val="en-US" w:eastAsia="zh-CN" w:bidi="ar"/>
        </w:rPr>
        <w:t>规模工业承压发展</w:t>
      </w:r>
      <w:r>
        <w:rPr>
          <w:rFonts w:hint="eastAsia" w:ascii="仿宋_GB2312" w:hAnsi="仿宋_GB2312" w:eastAsia="仿宋_GB2312" w:cs="仿宋_GB2312"/>
          <w:color w:val="auto"/>
          <w:kern w:val="0"/>
          <w:sz w:val="32"/>
          <w:szCs w:val="32"/>
          <w:lang w:val="en-US" w:eastAsia="zh-CN" w:bidi="ar"/>
        </w:rPr>
        <w:t>。积极开展规模企业培育工作，储备拟入规培育库工业企业10家，新增入规5家，成功认定省级“专精特新”中小企业7家。今年以来，全市采矿业增加值、电力、热力、燃气及水生产和供应业增加值持续增长；鲜冷藏肉、纸制品、锂离子电池、半导体分立器件、电子元件等重点产品产量增长均超过30%。</w:t>
      </w:r>
    </w:p>
    <w:p w14:paraId="6AE6FD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三是“五好”园区加快建设。</w:t>
      </w:r>
      <w:r>
        <w:rPr>
          <w:rFonts w:hint="eastAsia" w:ascii="仿宋_GB2312" w:hAnsi="仿宋_GB2312" w:eastAsia="仿宋_GB2312" w:cs="仿宋_GB2312"/>
          <w:color w:val="auto"/>
          <w:kern w:val="0"/>
          <w:sz w:val="32"/>
          <w:szCs w:val="32"/>
          <w:lang w:val="en-US" w:eastAsia="zh-CN" w:bidi="ar"/>
        </w:rPr>
        <w:t>积极完成园区调区工作，优化产业布局，以箱包、白酒、新材料和电子信息为主导的产业定位更加清晰。成功引入湖南乾顺置业发展有限公司，采用“投、建、营”一体化模式，建吉首市轻工（箱包皮具、服饰）科技产业园。提升政务大厅服务效能，完成办件186件，为企业节省成本9.69万元，基本实现“办事不出园”。</w:t>
      </w:r>
    </w:p>
    <w:p w14:paraId="15368C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kern w:val="0"/>
          <w:sz w:val="32"/>
          <w:szCs w:val="32"/>
          <w:lang w:val="en-US" w:eastAsia="zh-CN" w:bidi="ar"/>
        </w:rPr>
        <w:t>（二）</w:t>
      </w:r>
      <w:r>
        <w:rPr>
          <w:rFonts w:hint="eastAsia" w:ascii="仿宋_GB2312" w:hAnsi="仿宋_GB2312" w:eastAsia="仿宋_GB2312" w:cs="仿宋_GB2312"/>
          <w:b/>
          <w:bCs/>
          <w:color w:val="auto"/>
          <w:sz w:val="32"/>
          <w:szCs w:val="32"/>
          <w:lang w:val="en-US" w:eastAsia="zh-CN"/>
        </w:rPr>
        <w:t>宏观组合政策加力推进，实施效果逐步显现。</w:t>
      </w:r>
    </w:p>
    <w:p w14:paraId="472B8C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一是积极争取增量政策支持。</w:t>
      </w:r>
      <w:r>
        <w:rPr>
          <w:rFonts w:hint="eastAsia" w:ascii="仿宋_GB2312" w:hAnsi="仿宋_GB2312" w:eastAsia="仿宋_GB2312" w:cs="仿宋_GB2312"/>
          <w:color w:val="auto"/>
          <w:kern w:val="0"/>
          <w:sz w:val="32"/>
          <w:szCs w:val="32"/>
          <w:lang w:val="en-US" w:eastAsia="zh-CN" w:bidi="ar"/>
        </w:rPr>
        <w:t>强化宏观政策逆周期和跨周期调节、加强政策工具创新和协调配合，梳理今年以来国家出台的一揽子增量政策文件名录九大类71项，特别是抓住“中央、省预算内”“专项债券”“两重”“两新”等政策红利。今年我市共向上申报并获专项资金项目34个，总投资25.57亿元，争取上级专项资金10.77亿元。此外，我市还向上申报了2024年“两重”“两新”项目7个，项目总投资2.35亿元,资金需求1亿元。我市联合各大银行申报设备更新长期再贷款项目13个，项目总投资7.65亿，贷款总需求5.45亿。</w:t>
      </w:r>
    </w:p>
    <w:p w14:paraId="55C3B2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二是财政货币政策持续发力。</w:t>
      </w:r>
      <w:r>
        <w:rPr>
          <w:rFonts w:hint="eastAsia" w:ascii="仿宋_GB2312" w:hAnsi="仿宋_GB2312" w:eastAsia="仿宋_GB2312" w:cs="仿宋_GB2312"/>
          <w:color w:val="auto"/>
          <w:kern w:val="0"/>
          <w:sz w:val="32"/>
          <w:szCs w:val="32"/>
          <w:lang w:val="en-US" w:eastAsia="zh-CN" w:bidi="ar"/>
        </w:rPr>
        <w:t>重点领域支出较快增长，城乡社区、农林水、社会保障和就业、住房保障等领域支出分别增长339.35%、74.44%、4.51%、51.73%；一般公共预算支出增长20.44%。</w:t>
      </w:r>
    </w:p>
    <w:p w14:paraId="77A8E87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w:t>
      </w:r>
      <w:r>
        <w:rPr>
          <w:rFonts w:hint="eastAsia" w:ascii="仿宋_GB2312" w:hAnsi="仿宋_GB2312" w:eastAsia="仿宋_GB2312" w:cs="仿宋_GB2312"/>
          <w:b/>
          <w:bCs/>
          <w:color w:val="auto"/>
          <w:kern w:val="0"/>
          <w:sz w:val="32"/>
          <w:szCs w:val="32"/>
          <w:lang w:val="en-US" w:eastAsia="zh-CN" w:bidi="ar"/>
        </w:rPr>
        <w:t>是综合运用多种货币政策工具</w:t>
      </w:r>
      <w:r>
        <w:rPr>
          <w:rFonts w:hint="eastAsia" w:ascii="仿宋_GB2312" w:hAnsi="仿宋_GB2312" w:eastAsia="仿宋_GB2312" w:cs="仿宋_GB2312"/>
          <w:color w:val="auto"/>
          <w:kern w:val="0"/>
          <w:sz w:val="32"/>
          <w:szCs w:val="32"/>
          <w:lang w:val="en-US" w:eastAsia="zh-CN" w:bidi="ar"/>
        </w:rPr>
        <w:t>。全市各项存贷款余额分别同比增长11.34％、5.57％。制造业中长期贷款余额同比增长12.4%；发放科技型企业知识价值信用贷款10.16亿元；发放扶贫小额贷款407笔，1878.38万元；企业及个体工商户贷款余额307.12亿元，新增贷款43.42亿元，减免利息7505.1万元。</w:t>
      </w:r>
    </w:p>
    <w:p w14:paraId="06B1683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（三）</w:t>
      </w:r>
      <w:r>
        <w:rPr>
          <w:rFonts w:hint="eastAsia" w:ascii="仿宋_GB2312" w:hAnsi="仿宋_GB2312" w:eastAsia="仿宋_GB2312" w:cs="仿宋_GB2312"/>
          <w:b/>
          <w:bCs/>
          <w:color w:val="auto"/>
          <w:kern w:val="2"/>
          <w:sz w:val="32"/>
          <w:szCs w:val="32"/>
          <w:lang w:val="en-US" w:eastAsia="zh-CN" w:bidi="ar-SA"/>
        </w:rPr>
        <w:t>扩投资促消费扎实有力，需求拉动更趋协调。</w:t>
      </w:r>
    </w:p>
    <w:p w14:paraId="313C79D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bCs/>
          <w:color w:val="auto"/>
          <w:kern w:val="0"/>
          <w:sz w:val="32"/>
          <w:szCs w:val="32"/>
          <w:lang w:val="en-US" w:eastAsia="zh-CN" w:bidi="ar"/>
        </w:rPr>
        <w:t>有效投资稳增长。</w:t>
      </w:r>
      <w:r>
        <w:rPr>
          <w:rFonts w:hint="eastAsia" w:ascii="仿宋_GB2312" w:hAnsi="仿宋_GB2312" w:eastAsia="仿宋_GB2312" w:cs="仿宋_GB2312"/>
          <w:b w:val="0"/>
          <w:bCs w:val="0"/>
          <w:color w:val="auto"/>
          <w:kern w:val="0"/>
          <w:sz w:val="32"/>
          <w:szCs w:val="32"/>
          <w:lang w:val="en-US" w:eastAsia="zh-CN" w:bidi="ar"/>
        </w:rPr>
        <w:t>预计全年吉首市属固定资产投资完成60.8亿元（不含酒鬼酒）。</w:t>
      </w:r>
      <w:r>
        <w:rPr>
          <w:rFonts w:hint="eastAsia" w:ascii="仿宋_GB2312" w:hAnsi="仿宋_GB2312" w:eastAsia="仿宋_GB2312" w:cs="仿宋_GB2312"/>
          <w:color w:val="auto"/>
          <w:kern w:val="0"/>
          <w:sz w:val="32"/>
          <w:szCs w:val="32"/>
          <w:lang w:val="en-US" w:eastAsia="zh-CN" w:bidi="ar"/>
        </w:rPr>
        <w:t xml:space="preserve">2024年实施省州重点项目45个，其中，续建项目24个，新开项目21个，续建项目复工率100%。 </w:t>
      </w:r>
    </w:p>
    <w:p w14:paraId="54D772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二是因地制宜促销费。</w:t>
      </w:r>
      <w:r>
        <w:rPr>
          <w:rFonts w:hint="eastAsia" w:ascii="仿宋_GB2312" w:hAnsi="仿宋_GB2312" w:eastAsia="仿宋_GB2312" w:cs="仿宋_GB2312"/>
          <w:b w:val="0"/>
          <w:bCs w:val="0"/>
          <w:color w:val="auto"/>
          <w:kern w:val="0"/>
          <w:sz w:val="32"/>
          <w:szCs w:val="32"/>
          <w:u w:val="none"/>
          <w:lang w:val="en-US" w:eastAsia="zh-CN" w:bidi="ar"/>
        </w:rPr>
        <w:t>天虹购物中心、财信商业步行街获评“省夜间消费聚集示范区”。</w:t>
      </w:r>
      <w:r>
        <w:rPr>
          <w:rFonts w:hint="eastAsia" w:ascii="仿宋_GB2312" w:hAnsi="仿宋_GB2312" w:eastAsia="仿宋_GB2312" w:cs="仿宋_GB2312"/>
          <w:b w:val="0"/>
          <w:bCs w:val="0"/>
          <w:color w:val="auto"/>
          <w:kern w:val="0"/>
          <w:sz w:val="32"/>
          <w:szCs w:val="32"/>
          <w:lang w:val="en-US" w:eastAsia="zh-CN" w:bidi="ar"/>
        </w:rPr>
        <w:t>举办系列促消费活动,</w:t>
      </w:r>
      <w:r>
        <w:rPr>
          <w:rFonts w:hint="eastAsia" w:ascii="仿宋_GB2312" w:hAnsi="仿宋_GB2312" w:eastAsia="仿宋_GB2312" w:cs="仿宋_GB2312"/>
          <w:b w:val="0"/>
          <w:bCs w:val="0"/>
          <w:color w:val="auto"/>
          <w:kern w:val="0"/>
          <w:sz w:val="32"/>
          <w:szCs w:val="32"/>
          <w:u w:val="none"/>
          <w:lang w:val="en-US" w:eastAsia="zh-CN" w:bidi="ar"/>
        </w:rPr>
        <w:t>预计全年实现社会消费品零售总额126.36亿元，电子商务交易额39.7亿元，农产品电商交易额3.56亿元。</w:t>
      </w:r>
      <w:r>
        <w:rPr>
          <w:rFonts w:hint="eastAsia" w:ascii="仿宋_GB2312" w:hAnsi="仿宋_GB2312" w:eastAsia="仿宋_GB2312" w:cs="仿宋_GB2312"/>
          <w:b w:val="0"/>
          <w:bCs w:val="0"/>
          <w:color w:val="auto"/>
          <w:kern w:val="0"/>
          <w:sz w:val="32"/>
          <w:szCs w:val="32"/>
          <w:lang w:val="en-US" w:eastAsia="zh-CN" w:bidi="ar"/>
        </w:rPr>
        <w:t>“两新”政策落地见效，带动汽车、家电消费需求2.1亿余元。</w:t>
      </w:r>
    </w:p>
    <w:p w14:paraId="627C333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三是招商外贸见成效。</w:t>
      </w:r>
      <w:r>
        <w:rPr>
          <w:rFonts w:hint="eastAsia" w:ascii="仿宋_GB2312" w:hAnsi="仿宋_GB2312" w:eastAsia="仿宋_GB2312" w:cs="仿宋_GB2312"/>
          <w:b w:val="0"/>
          <w:bCs w:val="0"/>
          <w:color w:val="auto"/>
          <w:kern w:val="0"/>
          <w:sz w:val="32"/>
          <w:szCs w:val="32"/>
          <w:lang w:val="en-US" w:eastAsia="zh-CN" w:bidi="ar"/>
        </w:rPr>
        <w:t>聚焦箱包皮具鞋服、文化旅游、农业等主导产业精准招商。今年共接洽外省来访企业300余批次，建立重点项目库项目37个，客商资源库客商560名。</w:t>
      </w:r>
      <w:r>
        <w:rPr>
          <w:rFonts w:hint="eastAsia" w:ascii="仿宋_GB2312" w:hAnsi="仿宋_GB2312" w:eastAsia="仿宋_GB2312" w:cs="仿宋_GB2312"/>
          <w:color w:val="auto"/>
          <w:kern w:val="0"/>
          <w:sz w:val="32"/>
          <w:szCs w:val="32"/>
          <w:lang w:val="en-US" w:eastAsia="zh-CN" w:bidi="ar"/>
        </w:rPr>
        <w:t>完成招商引资签约项目22个，落地16个，预计全年实现省外境内资金55亿元。做好外贸支持政策宣传，加强与怀化国际陆港等周边外贸平台合作，预计全年实现外贸进出口总额3175万元，有实绩企业数4家。</w:t>
      </w:r>
    </w:p>
    <w:p w14:paraId="690564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（四）</w:t>
      </w:r>
      <w:r>
        <w:rPr>
          <w:rFonts w:hint="eastAsia" w:ascii="仿宋_GB2312" w:hAnsi="仿宋_GB2312" w:eastAsia="仿宋_GB2312" w:cs="仿宋_GB2312"/>
          <w:b/>
          <w:bCs/>
          <w:color w:val="auto"/>
          <w:kern w:val="2"/>
          <w:sz w:val="32"/>
          <w:szCs w:val="32"/>
          <w:lang w:val="en-US" w:eastAsia="zh-CN" w:bidi="ar-SA"/>
        </w:rPr>
        <w:t>全面深化改革有力推进，区域协调稳步发展。</w:t>
      </w:r>
    </w:p>
    <w:p w14:paraId="52D470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一是国有企业整合提质。企业架构更加合理。</w:t>
      </w:r>
      <w:r>
        <w:rPr>
          <w:rFonts w:hint="eastAsia" w:ascii="仿宋_GB2312" w:hAnsi="仿宋_GB2312" w:eastAsia="仿宋_GB2312" w:cs="仿宋_GB2312"/>
          <w:b w:val="0"/>
          <w:bCs w:val="0"/>
          <w:color w:val="auto"/>
          <w:kern w:val="0"/>
          <w:sz w:val="32"/>
          <w:szCs w:val="32"/>
          <w:lang w:val="en-US" w:eastAsia="zh-CN" w:bidi="ar"/>
        </w:rPr>
        <w:t>深化国企薪酬人事机构改革，</w:t>
      </w:r>
      <w:r>
        <w:rPr>
          <w:rFonts w:hint="eastAsia" w:ascii="仿宋_GB2312" w:hAnsi="仿宋_GB2312" w:eastAsia="仿宋_GB2312" w:cs="仿宋_GB2312"/>
          <w:color w:val="auto"/>
          <w:kern w:val="0"/>
          <w:sz w:val="32"/>
          <w:szCs w:val="32"/>
          <w:lang w:val="en-US" w:eastAsia="zh-CN" w:bidi="ar"/>
        </w:rPr>
        <w:t>形成以华泰公司、天行健公司、腾达公司、城市更新公司为主体的“4+2”市属国有企业架构，涉改企业由78家减至35家；市属国有企业员工年薪酬总额开支节流24%。</w:t>
      </w:r>
      <w:r>
        <w:rPr>
          <w:rFonts w:hint="eastAsia" w:ascii="仿宋_GB2312" w:hAnsi="仿宋_GB2312" w:eastAsia="仿宋_GB2312" w:cs="仿宋_GB2312"/>
          <w:b/>
          <w:bCs/>
          <w:color w:val="auto"/>
          <w:kern w:val="0"/>
          <w:sz w:val="32"/>
          <w:szCs w:val="32"/>
          <w:lang w:val="en-US" w:eastAsia="zh-CN" w:bidi="ar"/>
        </w:rPr>
        <w:t>国资监管更加完善。</w:t>
      </w:r>
      <w:r>
        <w:rPr>
          <w:rFonts w:hint="eastAsia" w:ascii="仿宋_GB2312" w:hAnsi="仿宋_GB2312" w:eastAsia="仿宋_GB2312" w:cs="仿宋_GB2312"/>
          <w:color w:val="auto"/>
          <w:kern w:val="0"/>
          <w:sz w:val="32"/>
          <w:szCs w:val="32"/>
          <w:lang w:val="en-US" w:eastAsia="zh-CN" w:bidi="ar"/>
        </w:rPr>
        <w:t>推行“1+N”管理办法，构建了国有企业数字监管平台系统，对市属国有企业的经营管理实行全过程、全方位信息化监管。</w:t>
      </w:r>
    </w:p>
    <w:p w14:paraId="41F9B5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二是营商环境持续优化。</w:t>
      </w:r>
      <w:r>
        <w:rPr>
          <w:rFonts w:hint="eastAsia" w:ascii="仿宋_GB2312" w:hAnsi="仿宋_GB2312" w:eastAsia="仿宋_GB2312" w:cs="仿宋_GB2312"/>
          <w:color w:val="auto"/>
          <w:kern w:val="0"/>
          <w:sz w:val="32"/>
          <w:szCs w:val="32"/>
          <w:lang w:val="en-US" w:eastAsia="zh-CN" w:bidi="ar"/>
        </w:rPr>
        <w:t>投入428万推进新政务服务中心设施提档、服务升级，政务服务“一网通办”实现全覆盖，线上线下可办率100%，“高效办成一件事”办件1.7万余件。</w:t>
      </w:r>
      <w:r>
        <w:rPr>
          <w:rFonts w:hint="eastAsia" w:ascii="仿宋_GB2312" w:hAnsi="仿宋_GB2312" w:eastAsia="仿宋_GB2312" w:cs="仿宋_GB2312"/>
          <w:b w:val="0"/>
          <w:bCs w:val="0"/>
          <w:color w:val="auto"/>
          <w:kern w:val="0"/>
          <w:sz w:val="32"/>
          <w:szCs w:val="32"/>
          <w:lang w:val="en-US" w:eastAsia="zh-CN" w:bidi="ar"/>
        </w:rPr>
        <w:t>开展优化营商环境“五大行动”，全面推行“首违不罚”，以柔性执法方式办理案件57687起。开展助企纾困解难行动，全市有市场主体净增3879户，企业净增752户。</w:t>
      </w:r>
    </w:p>
    <w:p w14:paraId="4DBDF8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三是城市载体功能更加完善。</w:t>
      </w:r>
      <w:r>
        <w:rPr>
          <w:rFonts w:hint="eastAsia" w:ascii="仿宋_GB2312" w:hAnsi="仿宋_GB2312" w:eastAsia="仿宋_GB2312" w:cs="仿宋_GB2312"/>
          <w:color w:val="auto"/>
          <w:kern w:val="0"/>
          <w:sz w:val="32"/>
          <w:szCs w:val="32"/>
          <w:lang w:val="en-US" w:eastAsia="zh-CN" w:bidi="ar"/>
        </w:rPr>
        <w:t>实施供水管网改造2千米，水表安装及改造3803块；</w:t>
      </w:r>
      <w:r>
        <w:rPr>
          <w:rFonts w:hint="eastAsia" w:ascii="仿宋_GB2312" w:hAnsi="仿宋_GB2312" w:eastAsia="仿宋_GB2312" w:cs="仿宋_GB2312"/>
          <w:b w:val="0"/>
          <w:bCs w:val="0"/>
          <w:color w:val="auto"/>
          <w:kern w:val="0"/>
          <w:sz w:val="32"/>
          <w:szCs w:val="32"/>
          <w:lang w:val="en-US" w:eastAsia="zh-CN" w:bidi="ar"/>
        </w:rPr>
        <w:t>水质综合合格率100%；</w:t>
      </w:r>
      <w:r>
        <w:rPr>
          <w:rFonts w:hint="eastAsia" w:ascii="仿宋_GB2312" w:hAnsi="仿宋_GB2312" w:eastAsia="仿宋_GB2312" w:cs="仿宋_GB2312"/>
          <w:color w:val="auto"/>
          <w:kern w:val="0"/>
          <w:sz w:val="32"/>
          <w:szCs w:val="32"/>
          <w:lang w:val="en-US" w:eastAsia="zh-CN" w:bidi="ar"/>
        </w:rPr>
        <w:t>新建燃气管道13.2公里，新增天然气用户3065户。推进雅溪黑臭水体整治，完成箱涵内部清淤1.5万立方米，新建污水管网7.7公里。老旧小区提质改造121个，改造房屋308栋，惠及群众8129户。建成保障性租赁住房404套。新建汽车充电桩925个、新增停车位436个。常住人口城镇化率达到75.25%。</w:t>
      </w:r>
    </w:p>
    <w:p w14:paraId="178BAEE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四是乡村振兴蹄疾步稳。</w:t>
      </w:r>
      <w:r>
        <w:rPr>
          <w:rFonts w:hint="eastAsia" w:ascii="仿宋_GB2312" w:hAnsi="仿宋_GB2312" w:eastAsia="仿宋_GB2312" w:cs="仿宋_GB2312"/>
          <w:b w:val="0"/>
          <w:bCs w:val="0"/>
          <w:color w:val="auto"/>
          <w:kern w:val="0"/>
          <w:sz w:val="32"/>
          <w:szCs w:val="32"/>
          <w:lang w:val="en-US" w:eastAsia="zh-CN" w:bidi="ar"/>
        </w:rPr>
        <w:t>深入推进防治返贫动态监测和帮扶机制，全市监测对象1945户6063人，已消除风险895户2836人，帮助脱贫人口务工1.87万人。实施各类教育资助1756.02万元、医疗救助和大病保险补偿1.65万人次3078.36万元，建成农村饮水安全工程12处，有效解决1.2万群众饮水安全问题。建设800个垃圾收集点、6处集中污水处理站及其配套管网、4096套分散式污水处理设施，完成农村改厕500户。累计创建省级特色精品乡村1个、省级和美乡村9个、省级“五好乡村”示范村1个、省级全域美丽乡村示范乡镇1个，成功打造“云上夯坨”、峡谷星空、峒河花岸、红坪聆水阁等乡村旅游打卡地。</w:t>
      </w:r>
    </w:p>
    <w:p w14:paraId="4876FE4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（五）</w:t>
      </w:r>
      <w:r>
        <w:rPr>
          <w:rFonts w:hint="eastAsia" w:ascii="仿宋_GB2312" w:hAnsi="仿宋_GB2312" w:eastAsia="仿宋_GB2312" w:cs="仿宋_GB2312"/>
          <w:b/>
          <w:bCs/>
          <w:color w:val="auto"/>
          <w:kern w:val="2"/>
          <w:sz w:val="32"/>
          <w:szCs w:val="32"/>
          <w:lang w:val="en-US" w:eastAsia="zh-CN" w:bidi="ar-SA"/>
        </w:rPr>
        <w:t>绿色低碳转型发展加快，精心呵护生态环境。</w:t>
      </w:r>
    </w:p>
    <w:p w14:paraId="3DD3DB6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一是生态治理持续加强。</w:t>
      </w:r>
      <w:r>
        <w:rPr>
          <w:rFonts w:hint="eastAsia" w:ascii="仿宋_GB2312" w:hAnsi="仿宋_GB2312" w:eastAsia="仿宋_GB2312" w:cs="仿宋_GB2312"/>
          <w:b w:val="0"/>
          <w:bCs w:val="0"/>
          <w:color w:val="auto"/>
          <w:kern w:val="0"/>
          <w:sz w:val="32"/>
          <w:szCs w:val="32"/>
          <w:lang w:val="en-US" w:eastAsia="zh-CN" w:bidi="ar"/>
        </w:rPr>
        <w:t>坚决打好蓝天、碧水、净土保卫战，</w:t>
      </w:r>
      <w:r>
        <w:rPr>
          <w:rFonts w:hint="eastAsia" w:ascii="仿宋_GB2312" w:hAnsi="仿宋_GB2312" w:eastAsia="仿宋_GB2312" w:cs="仿宋_GB2312"/>
          <w:color w:val="auto"/>
          <w:kern w:val="0"/>
          <w:sz w:val="32"/>
          <w:szCs w:val="32"/>
          <w:lang w:val="en-US" w:eastAsia="zh-CN" w:bidi="ar"/>
        </w:rPr>
        <w:t>全市未发生重大环境应急事件和重大环境污染事故，危险废物和核与辐射安全，环境风险可控。全市累计涉及的305件中央、省交办反馈突出问题，已办结255件，办结率83.6%。</w:t>
      </w:r>
    </w:p>
    <w:p w14:paraId="5F9307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二是生态建设不断加快。</w:t>
      </w:r>
      <w:r>
        <w:rPr>
          <w:rFonts w:hint="eastAsia" w:ascii="仿宋_GB2312" w:hAnsi="仿宋_GB2312" w:eastAsia="仿宋_GB2312" w:cs="仿宋_GB2312"/>
          <w:b w:val="0"/>
          <w:bCs w:val="0"/>
          <w:color w:val="auto"/>
          <w:kern w:val="0"/>
          <w:sz w:val="32"/>
          <w:szCs w:val="32"/>
          <w:lang w:val="en-US" w:eastAsia="zh-CN" w:bidi="ar"/>
        </w:rPr>
        <w:t>全市封山育林17738亩、森林质量精准提升1000亩、绿化荒山与生态修复补植540亩，护林巡护率稳定在90.2%以上。</w:t>
      </w:r>
      <w:r>
        <w:rPr>
          <w:rFonts w:hint="eastAsia" w:ascii="仿宋_GB2312" w:hAnsi="仿宋_GB2312" w:eastAsia="仿宋_GB2312" w:cs="仿宋_GB2312"/>
          <w:color w:val="auto"/>
          <w:kern w:val="0"/>
          <w:sz w:val="32"/>
          <w:szCs w:val="32"/>
          <w:lang w:val="en-US" w:eastAsia="zh-CN" w:bidi="ar"/>
        </w:rPr>
        <w:t>空气质量优良率98.3%，代表湘西州在全省14个市州中排名第一；2个地级城市地表水集中式饮用水源地水质和6个国、省地表水考核断面达标率100%；污染地块安全利用率100%。</w:t>
      </w:r>
    </w:p>
    <w:p w14:paraId="5CB7B6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三是“双碳”工作稳妥推进。</w:t>
      </w:r>
      <w:r>
        <w:rPr>
          <w:rFonts w:hint="eastAsia" w:ascii="仿宋_GB2312" w:hAnsi="仿宋_GB2312" w:eastAsia="仿宋_GB2312" w:cs="仿宋_GB2312"/>
          <w:b w:val="0"/>
          <w:bCs w:val="0"/>
          <w:color w:val="auto"/>
          <w:kern w:val="0"/>
          <w:sz w:val="32"/>
          <w:szCs w:val="32"/>
          <w:lang w:val="en-US" w:eastAsia="zh-CN" w:bidi="ar"/>
        </w:rPr>
        <w:t>上争资金2亿元推进峒河南北岸排水防涝整治提标、农村人居环境整治提升及乾州污水处理厂管网更新改造工程，提升污染治理和节能减碳基础能力；建立绿色信贷项目库，对接绿色信贷项目12个，拟申贷金额24.39亿元，其中符合碳减排支持项目3个，</w:t>
      </w:r>
      <w:r>
        <w:rPr>
          <w:rFonts w:hint="eastAsia" w:ascii="仿宋_GB2312" w:hAnsi="仿宋_GB2312" w:eastAsia="仿宋_GB2312" w:cs="仿宋_GB2312"/>
          <w:b w:val="0"/>
          <w:bCs w:val="0"/>
          <w:color w:val="auto"/>
          <w:w w:val="96"/>
          <w:kern w:val="0"/>
          <w:sz w:val="32"/>
          <w:szCs w:val="32"/>
          <w:lang w:val="en-US" w:eastAsia="zh-CN" w:bidi="ar"/>
        </w:rPr>
        <w:t>拟申贷金额5.28亿元。</w:t>
      </w:r>
    </w:p>
    <w:p w14:paraId="5863BDB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（六）</w:t>
      </w:r>
      <w:r>
        <w:rPr>
          <w:rFonts w:hint="eastAsia" w:ascii="仿宋_GB2312" w:hAnsi="仿宋_GB2312" w:eastAsia="仿宋_GB2312" w:cs="仿宋_GB2312"/>
          <w:b/>
          <w:bCs/>
          <w:color w:val="auto"/>
          <w:kern w:val="2"/>
          <w:sz w:val="32"/>
          <w:szCs w:val="32"/>
          <w:lang w:val="en-US" w:eastAsia="zh-CN" w:bidi="ar-SA"/>
        </w:rPr>
        <w:t>防范化解重点领域风险，安全保障能力加强。</w:t>
      </w:r>
    </w:p>
    <w:p w14:paraId="7A8CE1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一是粮食和能源安全不断强化。</w:t>
      </w:r>
      <w:r>
        <w:rPr>
          <w:rFonts w:hint="eastAsia" w:ascii="仿宋_GB2312" w:hAnsi="仿宋_GB2312" w:eastAsia="仿宋_GB2312" w:cs="仿宋_GB2312"/>
          <w:b w:val="0"/>
          <w:bCs w:val="0"/>
          <w:color w:val="auto"/>
          <w:kern w:val="0"/>
          <w:sz w:val="32"/>
          <w:szCs w:val="32"/>
          <w:lang w:val="en-US" w:eastAsia="zh-CN" w:bidi="ar"/>
        </w:rPr>
        <w:t>争取投资2000万元建设高标准农田建设0.8万亩。</w:t>
      </w:r>
      <w:r>
        <w:rPr>
          <w:rFonts w:hint="eastAsia" w:ascii="仿宋_GB2312" w:hAnsi="仿宋_GB2312" w:eastAsia="仿宋_GB2312" w:cs="仿宋_GB2312"/>
          <w:color w:val="auto"/>
          <w:kern w:val="0"/>
          <w:sz w:val="32"/>
          <w:szCs w:val="32"/>
          <w:lang w:val="en-US" w:eastAsia="zh-CN" w:bidi="ar"/>
        </w:rPr>
        <w:t>种植粮食14.07万亩，产量5.38万吨；种植蔬菜10万亩，生猪存栏6万头，出栏9.5万头；禽蛋产量0.18万吨，</w:t>
      </w:r>
      <w:r>
        <w:rPr>
          <w:rFonts w:hint="eastAsia" w:ascii="仿宋_GB2312" w:hAnsi="仿宋_GB2312" w:eastAsia="仿宋_GB2312" w:cs="仿宋_GB2312"/>
          <w:b w:val="0"/>
          <w:bCs w:val="0"/>
          <w:color w:val="auto"/>
          <w:kern w:val="0"/>
          <w:sz w:val="32"/>
          <w:szCs w:val="32"/>
          <w:lang w:val="en-US" w:eastAsia="zh-CN" w:bidi="ar"/>
        </w:rPr>
        <w:t>粮食和重要农产品稳产保供。</w:t>
      </w:r>
      <w:r>
        <w:rPr>
          <w:rFonts w:hint="eastAsia" w:ascii="仿宋_GB2312" w:hAnsi="仿宋_GB2312" w:eastAsia="仿宋_GB2312" w:cs="仿宋_GB2312"/>
          <w:color w:val="auto"/>
          <w:kern w:val="0"/>
          <w:sz w:val="32"/>
          <w:szCs w:val="32"/>
          <w:lang w:val="en-US" w:eastAsia="zh-CN" w:bidi="ar"/>
        </w:rPr>
        <w:t>市屋顶分布式光伏发电项目建设规模已完成8.988MW，累计完成投资3000万；迎峰度夏度冬能源运行总体稳定</w:t>
      </w:r>
      <w:r>
        <w:rPr>
          <w:rFonts w:hint="eastAsia" w:ascii="仿宋_GB2312" w:hAnsi="仿宋_GB2312" w:eastAsia="仿宋_GB2312" w:cs="仿宋_GB2312"/>
          <w:b/>
          <w:bCs/>
          <w:color w:val="auto"/>
          <w:kern w:val="0"/>
          <w:sz w:val="32"/>
          <w:szCs w:val="32"/>
          <w:lang w:val="en-US" w:eastAsia="zh-CN" w:bidi="ar"/>
        </w:rPr>
        <w:t>。</w:t>
      </w:r>
    </w:p>
    <w:p w14:paraId="448BD1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二是政府债务风险总体可控。</w:t>
      </w:r>
      <w:r>
        <w:rPr>
          <w:rFonts w:hint="eastAsia" w:ascii="仿宋_GB2312" w:hAnsi="仿宋_GB2312" w:eastAsia="仿宋_GB2312" w:cs="仿宋_GB2312"/>
          <w:color w:val="auto"/>
          <w:kern w:val="0"/>
          <w:sz w:val="32"/>
          <w:szCs w:val="32"/>
          <w:lang w:val="en-US" w:eastAsia="zh-CN" w:bidi="ar"/>
        </w:rPr>
        <w:t>积极稳妥化解存量隐性债务，深化违规举债和虚假化债监督，未出现逾期违约现象，守住了不发生系统性、区域性风险的底线。</w:t>
      </w:r>
    </w:p>
    <w:p w14:paraId="7C94DC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w:t>
      </w:r>
      <w:r>
        <w:rPr>
          <w:rFonts w:hint="eastAsia" w:ascii="仿宋_GB2312" w:hAnsi="仿宋_GB2312" w:eastAsia="仿宋_GB2312" w:cs="仿宋_GB2312"/>
          <w:b/>
          <w:bCs/>
          <w:color w:val="auto"/>
          <w:kern w:val="0"/>
          <w:sz w:val="32"/>
          <w:szCs w:val="32"/>
          <w:lang w:val="en-US" w:eastAsia="zh-CN" w:bidi="ar"/>
        </w:rPr>
        <w:t>是金融风险防控有力。</w:t>
      </w:r>
      <w:r>
        <w:rPr>
          <w:rFonts w:hint="eastAsia" w:ascii="仿宋_GB2312" w:hAnsi="仿宋_GB2312" w:eastAsia="仿宋_GB2312" w:cs="仿宋_GB2312"/>
          <w:color w:val="auto"/>
          <w:kern w:val="0"/>
          <w:sz w:val="32"/>
          <w:szCs w:val="32"/>
          <w:lang w:val="en-US" w:eastAsia="zh-CN" w:bidi="ar"/>
        </w:rPr>
        <w:t>严厉打击非法集资、金融诈骗等违法犯罪活动,加大陈案化解力度。抓好小额贷款公司、典当行、融资担保公司等地方金融组织日常监管。全年未发生风险事件。</w:t>
      </w:r>
    </w:p>
    <w:p w14:paraId="42782E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四是社会大局和谐稳定。</w:t>
      </w:r>
      <w:r>
        <w:rPr>
          <w:rFonts w:hint="eastAsia" w:ascii="仿宋_GB2312" w:hAnsi="仿宋_GB2312" w:eastAsia="仿宋_GB2312" w:cs="仿宋_GB2312"/>
          <w:color w:val="auto"/>
          <w:kern w:val="0"/>
          <w:sz w:val="32"/>
          <w:szCs w:val="32"/>
          <w:lang w:val="en-US" w:eastAsia="zh-CN" w:bidi="ar"/>
        </w:rPr>
        <w:t>稳步推进保交楼工作，交付率97.75%；专项资金使用率99.15%。常态化开展扫黑除恶、安全生产、“一老一小”机构等各行业各领域隐患排查治理工作，坚决防范和遏制各类安全事故发生。</w:t>
      </w:r>
    </w:p>
    <w:p w14:paraId="26B81CA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righ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
        </w:rPr>
        <w:t>（七）</w:t>
      </w:r>
      <w:r>
        <w:rPr>
          <w:rFonts w:hint="eastAsia" w:ascii="仿宋_GB2312" w:hAnsi="仿宋_GB2312" w:eastAsia="仿宋_GB2312" w:cs="仿宋_GB2312"/>
          <w:b/>
          <w:bCs/>
          <w:color w:val="auto"/>
          <w:kern w:val="2"/>
          <w:sz w:val="32"/>
          <w:szCs w:val="32"/>
          <w:lang w:val="en-US" w:eastAsia="zh-CN" w:bidi="ar-SA"/>
        </w:rPr>
        <w:t>扎实办好各项民生事业，人民生活持续改善。</w:t>
      </w:r>
    </w:p>
    <w:p w14:paraId="1F54088A">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rightChars="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一是就业形势总体稳定。</w:t>
      </w:r>
      <w:r>
        <w:rPr>
          <w:rFonts w:hint="eastAsia" w:ascii="仿宋_GB2312" w:hAnsi="仿宋_GB2312" w:eastAsia="仿宋_GB2312" w:cs="仿宋_GB2312"/>
          <w:b w:val="0"/>
          <w:bCs w:val="0"/>
          <w:color w:val="auto"/>
          <w:kern w:val="0"/>
          <w:sz w:val="32"/>
          <w:szCs w:val="32"/>
          <w:lang w:val="en-US" w:eastAsia="zh-CN" w:bidi="ar"/>
        </w:rPr>
        <w:t>全市城镇新增就业2810人，同比增长2.99%；农村劳动力转移就业58616人，同比增长1.18%；新增创业主体1421个，带动就业3162人，新增发放创业担保贷款7577万元，均超额完成目标任务。</w:t>
      </w:r>
    </w:p>
    <w:p w14:paraId="1E265CE9">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rightChars="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二是医疗健康持续发展。</w:t>
      </w:r>
      <w:r>
        <w:rPr>
          <w:rFonts w:hint="eastAsia" w:ascii="仿宋_GB2312" w:hAnsi="仿宋_GB2312" w:eastAsia="仿宋_GB2312" w:cs="仿宋_GB2312"/>
          <w:b w:val="0"/>
          <w:bCs w:val="0"/>
          <w:color w:val="auto"/>
          <w:kern w:val="0"/>
          <w:sz w:val="32"/>
          <w:szCs w:val="32"/>
          <w:lang w:val="en-US" w:eastAsia="zh-CN" w:bidi="ar"/>
        </w:rPr>
        <w:t>出台《吉首市紧密型县域医疗卫生共同体建设实施方案》，建立紧密型县域医共体，完成医共体总医院和基层医疗机构内部改革。健康扶贫成果持续巩固，行政村卫生室医保定点全覆盖；脱贫人口和监测对象家庭医生签约率100%。</w:t>
      </w:r>
    </w:p>
    <w:p w14:paraId="7CD53EF5">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rightChars="0" w:firstLine="643" w:firstLineChars="200"/>
        <w:jc w:val="both"/>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三是教体事业稳步推进。</w:t>
      </w:r>
      <w:r>
        <w:rPr>
          <w:rFonts w:hint="eastAsia" w:ascii="仿宋_GB2312" w:hAnsi="仿宋_GB2312" w:eastAsia="仿宋_GB2312" w:cs="仿宋_GB2312"/>
          <w:b w:val="0"/>
          <w:bCs w:val="0"/>
          <w:color w:val="auto"/>
          <w:kern w:val="0"/>
          <w:sz w:val="32"/>
          <w:szCs w:val="32"/>
          <w:lang w:val="en-US" w:eastAsia="zh-CN" w:bidi="ar"/>
        </w:rPr>
        <w:t>完成乾雅小学体育馆、攀岩墙，丹青中小学2所农村标准化寄宿制学校等项目建设；建成石家冲营庄社区滨河浴场、峒河水畔铭城浴场并全面开放，有效预防未成年人野泳溺水事故发生；素质教育历史突破，市八小成功创建湖南省“书香校园”，乾元小学《实用新型实验桌》获“湖南省科协主席奖”。体育事业蓬勃发展,摘夺州第十五届运动会金牌152枚、银牌106枚、铜牌75枚，取得赛会总分、金牌、代表团总分及代表团金牌四项第一。</w:t>
      </w:r>
    </w:p>
    <w:p w14:paraId="6F43F804">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四是社会保障持续增强。</w:t>
      </w:r>
      <w:r>
        <w:rPr>
          <w:rFonts w:hint="eastAsia" w:ascii="仿宋_GB2312" w:hAnsi="仿宋_GB2312" w:eastAsia="仿宋_GB2312" w:cs="仿宋_GB2312"/>
          <w:b w:val="0"/>
          <w:bCs w:val="0"/>
          <w:color w:val="auto"/>
          <w:kern w:val="0"/>
          <w:sz w:val="32"/>
          <w:szCs w:val="32"/>
          <w:lang w:val="en-US" w:eastAsia="zh-CN" w:bidi="ar"/>
        </w:rPr>
        <w:t>健全分层分类的社会救助体系,城乡低保标准分别提高到700元/月、5400元/年，均与省定低保保障标准一致；特困供养人员、残疾人、流浪乞讨人员、孤儿和事实无人抚养儿童等保障扎实有力，“一老一小”关爱服务体系不断完善。</w:t>
      </w:r>
    </w:p>
    <w:p w14:paraId="4D08A91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二、关于2025年经济社会发展环境</w:t>
      </w:r>
    </w:p>
    <w:p w14:paraId="245F8129">
      <w:pPr>
        <w:pStyle w:val="7"/>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2025年是“十四五”规划收官之年，也是谋划“十五五”规划布局之年，我市经济社会发展既面临历史机遇也面临风险挑战。综合来看，发展的有利条件和支撑因素依然较多。对此，我们要增强信心和底气。</w:t>
      </w:r>
    </w:p>
    <w:p w14:paraId="6704766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exact"/>
        <w:ind w:left="0" w:leftChars="0" w:right="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（一）</w:t>
      </w:r>
      <w:r>
        <w:rPr>
          <w:rFonts w:hint="default" w:ascii="楷体_GB2312" w:hAnsi="楷体_GB2312" w:eastAsia="楷体_GB2312" w:cs="楷体_GB2312"/>
          <w:b/>
          <w:bCs/>
          <w:color w:val="auto"/>
          <w:kern w:val="0"/>
          <w:sz w:val="32"/>
          <w:szCs w:val="32"/>
          <w:lang w:val="en-US" w:eastAsia="zh-CN" w:bidi="ar"/>
        </w:rPr>
        <w:t>机遇方面。</w:t>
      </w:r>
      <w:r>
        <w:rPr>
          <w:rFonts w:hint="eastAsia" w:ascii="仿宋_GB2312" w:hAnsi="仿宋_GB2312" w:eastAsia="仿宋_GB2312" w:cs="仿宋_GB2312"/>
          <w:b/>
          <w:bCs/>
          <w:color w:val="auto"/>
          <w:kern w:val="0"/>
          <w:sz w:val="32"/>
          <w:szCs w:val="32"/>
          <w:lang w:val="en-US" w:eastAsia="zh-CN" w:bidi="ar"/>
        </w:rPr>
        <w:t>从发展态势来看，</w:t>
      </w:r>
      <w:r>
        <w:rPr>
          <w:rFonts w:hint="eastAsia" w:ascii="仿宋_GB2312" w:hAnsi="仿宋_GB2312" w:eastAsia="仿宋_GB2312" w:cs="仿宋_GB2312"/>
          <w:color w:val="auto"/>
          <w:kern w:val="0"/>
          <w:sz w:val="32"/>
          <w:szCs w:val="32"/>
          <w:lang w:val="en-US" w:eastAsia="zh-CN" w:bidi="ar"/>
        </w:rPr>
        <w:t>我国经济发展回升向好、长期向好的基本趋势没有改变，市场潜力大、经济韧性强等有利条件没有改变。</w:t>
      </w:r>
      <w:r>
        <w:rPr>
          <w:rFonts w:hint="eastAsia" w:ascii="仿宋_GB2312" w:hAnsi="仿宋_GB2312" w:eastAsia="仿宋_GB2312" w:cs="仿宋_GB2312"/>
          <w:b/>
          <w:bCs/>
          <w:color w:val="auto"/>
          <w:kern w:val="0"/>
          <w:sz w:val="32"/>
          <w:szCs w:val="32"/>
          <w:lang w:val="en-US" w:eastAsia="zh-CN" w:bidi="ar"/>
        </w:rPr>
        <w:t>从政策支撑来看，</w:t>
      </w:r>
      <w:r>
        <w:rPr>
          <w:rFonts w:hint="eastAsia" w:ascii="仿宋_GB2312" w:hAnsi="仿宋_GB2312" w:eastAsia="仿宋_GB2312" w:cs="仿宋_GB2312"/>
          <w:b w:val="0"/>
          <w:bCs w:val="0"/>
          <w:color w:val="auto"/>
          <w:kern w:val="0"/>
          <w:sz w:val="32"/>
          <w:szCs w:val="32"/>
          <w:lang w:val="en-US" w:eastAsia="zh-CN" w:bidi="ar"/>
        </w:rPr>
        <w:t>基于二十届三中全会的长期改革蓝图，以即将制定实施的“十五五”规划为契机，预计2025年国家宏观政策将持续发力，进一步夯实基本面，推动经济向上、结构向优。</w:t>
      </w:r>
      <w:r>
        <w:rPr>
          <w:rFonts w:hint="eastAsia" w:ascii="仿宋_GB2312" w:hAnsi="仿宋_GB2312" w:eastAsia="仿宋_GB2312" w:cs="仿宋_GB2312"/>
          <w:b/>
          <w:bCs/>
          <w:color w:val="auto"/>
          <w:kern w:val="0"/>
          <w:sz w:val="32"/>
          <w:szCs w:val="32"/>
          <w:lang w:val="en-US" w:eastAsia="zh-CN" w:bidi="ar"/>
        </w:rPr>
        <w:t>财政政策方面</w:t>
      </w:r>
      <w:r>
        <w:rPr>
          <w:rFonts w:hint="eastAsia" w:ascii="仿宋_GB2312" w:hAnsi="仿宋_GB2312" w:eastAsia="仿宋_GB2312" w:cs="仿宋_GB2312"/>
          <w:color w:val="auto"/>
          <w:kern w:val="0"/>
          <w:sz w:val="32"/>
          <w:szCs w:val="32"/>
          <w:lang w:val="en-US" w:eastAsia="zh-CN" w:bidi="ar"/>
        </w:rPr>
        <w:t>，将继续实施积极的财政政策，通过增加公共支出、减税降费等措施来刺激经济增长。财政赤字率可能会提高到5.0%左右，以增加政府支出，支持基础设施建设、养老生育等短板领域。</w:t>
      </w:r>
      <w:r>
        <w:rPr>
          <w:rFonts w:hint="eastAsia" w:ascii="仿宋_GB2312" w:hAnsi="仿宋_GB2312" w:eastAsia="仿宋_GB2312" w:cs="仿宋_GB2312"/>
          <w:b/>
          <w:bCs/>
          <w:color w:val="auto"/>
          <w:kern w:val="0"/>
          <w:sz w:val="32"/>
          <w:szCs w:val="32"/>
          <w:lang w:val="en-US" w:eastAsia="zh-CN" w:bidi="ar"/>
        </w:rPr>
        <w:t>货币政策方面</w:t>
      </w:r>
      <w:r>
        <w:rPr>
          <w:rFonts w:hint="eastAsia" w:ascii="仿宋_GB2312" w:hAnsi="仿宋_GB2312" w:eastAsia="仿宋_GB2312" w:cs="仿宋_GB2312"/>
          <w:color w:val="auto"/>
          <w:kern w:val="0"/>
          <w:sz w:val="32"/>
          <w:szCs w:val="32"/>
          <w:lang w:val="en-US" w:eastAsia="zh-CN" w:bidi="ar"/>
        </w:rPr>
        <w:t>，中国人民银行可能会维持适度宽松的货币政策，通过降低存款准备金率和利率来促进经济增长。货币政策将更加倾向支持科技创新、先进制造、绿色发展和中小微企业发展。</w:t>
      </w:r>
      <w:r>
        <w:rPr>
          <w:rFonts w:hint="eastAsia" w:ascii="仿宋_GB2312" w:hAnsi="仿宋_GB2312" w:eastAsia="仿宋_GB2312" w:cs="仿宋_GB2312"/>
          <w:b/>
          <w:bCs/>
          <w:color w:val="auto"/>
          <w:kern w:val="0"/>
          <w:sz w:val="32"/>
          <w:szCs w:val="32"/>
          <w:lang w:val="en-US" w:eastAsia="zh-CN" w:bidi="ar"/>
        </w:rPr>
        <w:t>投资政策方面</w:t>
      </w:r>
      <w:r>
        <w:rPr>
          <w:rFonts w:hint="eastAsia" w:ascii="仿宋_GB2312" w:hAnsi="仿宋_GB2312" w:eastAsia="仿宋_GB2312" w:cs="仿宋_GB2312"/>
          <w:color w:val="auto"/>
          <w:kern w:val="0"/>
          <w:sz w:val="32"/>
          <w:szCs w:val="32"/>
          <w:lang w:val="en-US" w:eastAsia="zh-CN" w:bidi="ar"/>
        </w:rPr>
        <w:t>，明年将继续发行超长期特别国债，加力支持“两重”建设，将提前下达明年1000亿元中央预算内投资计划和1000亿元“两重”建设项目清单，支持地方加快开展前期工作、先行开工实施；持续3年的地方政府专项债券年均2万亿置换供给和支持包括用于收储闲置开发土地以及用于保障性住房购置商品房开发存量房两种专项债券发行，支持政策拓宽等资金政策不断叠加。即将出台的国有经济布局优化和结构调整指引目录和《民营经济促进法》，也将对调动民间投资积极性，放宽准入、优化营商环境起到积极作用。</w:t>
      </w:r>
      <w:r>
        <w:rPr>
          <w:rFonts w:hint="eastAsia" w:ascii="仿宋_GB2312" w:hAnsi="仿宋_GB2312" w:eastAsia="仿宋_GB2312" w:cs="仿宋_GB2312"/>
          <w:b/>
          <w:bCs/>
          <w:color w:val="auto"/>
          <w:kern w:val="0"/>
          <w:sz w:val="32"/>
          <w:szCs w:val="32"/>
          <w:lang w:val="en-US" w:eastAsia="zh-CN" w:bidi="ar"/>
        </w:rPr>
        <w:t>消费政策方面</w:t>
      </w:r>
      <w:r>
        <w:rPr>
          <w:rFonts w:hint="eastAsia" w:ascii="仿宋_GB2312" w:hAnsi="仿宋_GB2312" w:eastAsia="仿宋_GB2312" w:cs="仿宋_GB2312"/>
          <w:color w:val="auto"/>
          <w:kern w:val="0"/>
          <w:sz w:val="32"/>
          <w:szCs w:val="32"/>
          <w:lang w:val="en-US" w:eastAsia="zh-CN" w:bidi="ar"/>
        </w:rPr>
        <w:t>，结合“两新”推动大宗商品消费将持续扩大。国家将继续加大相关政策推进实施力度，推动商品消费持续增加。另外，国家发改委将逐步完善生育支持政策体系，支持和规范社会力量发展养老、托育产业，扩大养老、托育等服务消费。</w:t>
      </w:r>
      <w:r>
        <w:rPr>
          <w:rFonts w:hint="eastAsia" w:ascii="仿宋_GB2312" w:hAnsi="仿宋_GB2312" w:eastAsia="仿宋_GB2312" w:cs="仿宋_GB2312"/>
          <w:b/>
          <w:bCs/>
          <w:color w:val="auto"/>
          <w:kern w:val="0"/>
          <w:sz w:val="32"/>
          <w:szCs w:val="32"/>
          <w:lang w:val="en-US" w:eastAsia="zh-CN" w:bidi="ar"/>
        </w:rPr>
        <w:t>从我市基础来看，</w:t>
      </w:r>
      <w:r>
        <w:rPr>
          <w:rFonts w:hint="eastAsia" w:ascii="仿宋_GB2312" w:hAnsi="仿宋_GB2312" w:eastAsia="仿宋_GB2312" w:cs="仿宋_GB2312"/>
          <w:color w:val="auto"/>
          <w:kern w:val="0"/>
          <w:sz w:val="32"/>
          <w:szCs w:val="32"/>
          <w:lang w:val="en-US" w:eastAsia="zh-CN" w:bidi="ar"/>
        </w:rPr>
        <w:t>我市积极培育发展电子信息、箱包等新兴产业链，强化珠三角、大湾区、长株潭地区产业转移的承接和招引，大力承接江西新干、珠三角等地箱包及配套产业链转移；积极对接深圳塘厦、东莞等地电子信息、柔性线路板产业转移企业。随着相关产业链逐步完善，上下游企业的落地将进一步扩大就业，促进消费提升。</w:t>
      </w:r>
    </w:p>
    <w:p w14:paraId="334BAEC4">
      <w:pPr>
        <w:pStyle w:val="7"/>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（二）</w:t>
      </w:r>
      <w:r>
        <w:rPr>
          <w:rFonts w:hint="default" w:ascii="楷体_GB2312" w:hAnsi="楷体_GB2312" w:eastAsia="楷体_GB2312" w:cs="楷体_GB2312"/>
          <w:b/>
          <w:bCs/>
          <w:color w:val="auto"/>
          <w:kern w:val="0"/>
          <w:sz w:val="32"/>
          <w:szCs w:val="32"/>
          <w:lang w:val="en-US" w:eastAsia="zh-CN" w:bidi="ar"/>
        </w:rPr>
        <w:t>挑战方面。</w:t>
      </w:r>
      <w:r>
        <w:rPr>
          <w:rFonts w:hint="eastAsia" w:ascii="仿宋_GB2312" w:hAnsi="仿宋_GB2312" w:eastAsia="仿宋_GB2312" w:cs="仿宋_GB2312"/>
          <w:b/>
          <w:bCs/>
          <w:color w:val="auto"/>
          <w:kern w:val="0"/>
          <w:sz w:val="32"/>
          <w:szCs w:val="32"/>
          <w:lang w:val="en-US" w:eastAsia="zh-CN" w:bidi="ar"/>
        </w:rPr>
        <w:t>一是经济大环境依然</w:t>
      </w:r>
      <w:r>
        <w:rPr>
          <w:rFonts w:hint="eastAsia" w:ascii="仿宋_GB2312" w:hAnsi="仿宋_GB2312" w:eastAsia="仿宋_GB2312" w:cs="仿宋_GB2312"/>
          <w:b/>
          <w:bCs/>
          <w:color w:val="auto"/>
          <w:sz w:val="32"/>
          <w:szCs w:val="32"/>
          <w:lang w:eastAsia="zh-CN"/>
        </w:rPr>
        <w:t>不景气。</w:t>
      </w:r>
      <w:r>
        <w:rPr>
          <w:rFonts w:hint="eastAsia" w:ascii="仿宋_GB2312" w:hAnsi="仿宋_GB2312" w:eastAsia="仿宋_GB2312" w:cs="仿宋_GB2312"/>
          <w:b w:val="0"/>
          <w:bCs w:val="0"/>
          <w:color w:val="auto"/>
          <w:sz w:val="32"/>
          <w:szCs w:val="32"/>
          <w:lang w:eastAsia="zh-CN"/>
        </w:rPr>
        <w:t>地缘政治紧张加剧，贸易保护主义抬头，供应链受阻甚至断裂等因素导致国外需求难以把握，给明年的经济带来不确定性</w:t>
      </w:r>
      <w:r>
        <w:rPr>
          <w:rFonts w:hint="eastAsia" w:ascii="仿宋_GB2312" w:hAnsi="仿宋_GB2312" w:eastAsia="仿宋_GB2312" w:cs="仿宋_GB2312"/>
          <w:color w:val="auto"/>
          <w:kern w:val="0"/>
          <w:sz w:val="32"/>
          <w:szCs w:val="32"/>
          <w:lang w:val="en-US" w:eastAsia="zh-CN" w:bidi="ar"/>
        </w:rPr>
        <w:t>。据国际货币基金组织预测，中国2024年经济增速4.8%，较去年下降0.4个百分点，2025年增速将放缓至4.5%。生产率增长缓慢、人口老龄化等结构性问题持续抑制着经济的增长潜力，国内需求收缩、供给冲击、预期转弱的三重压力尚未得到根本化解。</w:t>
      </w:r>
      <w:r>
        <w:rPr>
          <w:rFonts w:hint="eastAsia" w:ascii="仿宋_GB2312" w:hAnsi="仿宋_GB2312" w:eastAsia="仿宋_GB2312" w:cs="仿宋_GB2312"/>
          <w:b/>
          <w:bCs/>
          <w:color w:val="auto"/>
          <w:kern w:val="0"/>
          <w:sz w:val="32"/>
          <w:szCs w:val="32"/>
          <w:lang w:val="en-US" w:eastAsia="zh-CN" w:bidi="ar"/>
        </w:rPr>
        <w:t>二是有效</w:t>
      </w:r>
      <w:r>
        <w:rPr>
          <w:rFonts w:hint="eastAsia" w:ascii="仿宋_GB2312" w:hAnsi="仿宋_GB2312" w:eastAsia="仿宋_GB2312" w:cs="仿宋_GB2312"/>
          <w:b/>
          <w:bCs/>
          <w:color w:val="auto"/>
          <w:sz w:val="32"/>
          <w:szCs w:val="32"/>
        </w:rPr>
        <w:t>需求</w:t>
      </w:r>
      <w:r>
        <w:rPr>
          <w:rFonts w:hint="eastAsia" w:ascii="仿宋_GB2312" w:hAnsi="仿宋_GB2312" w:eastAsia="仿宋_GB2312" w:cs="仿宋_GB2312"/>
          <w:b/>
          <w:bCs/>
          <w:color w:val="auto"/>
          <w:sz w:val="32"/>
          <w:szCs w:val="32"/>
          <w:lang w:eastAsia="zh-CN"/>
        </w:rPr>
        <w:t>动能修复</w:t>
      </w:r>
      <w:r>
        <w:rPr>
          <w:rFonts w:hint="eastAsia" w:ascii="仿宋_GB2312" w:hAnsi="仿宋_GB2312" w:eastAsia="仿宋_GB2312" w:cs="仿宋_GB2312"/>
          <w:b/>
          <w:bCs/>
          <w:color w:val="auto"/>
          <w:sz w:val="32"/>
          <w:szCs w:val="32"/>
        </w:rPr>
        <w:t>不足。</w:t>
      </w:r>
      <w:r>
        <w:rPr>
          <w:rFonts w:hint="eastAsia" w:ascii="仿宋_GB2312" w:hAnsi="仿宋_GB2312" w:eastAsia="仿宋_GB2312" w:cs="仿宋_GB2312"/>
          <w:color w:val="auto"/>
          <w:kern w:val="0"/>
          <w:sz w:val="32"/>
          <w:szCs w:val="32"/>
          <w:lang w:val="en-US" w:eastAsia="zh-CN" w:bidi="ar"/>
        </w:rPr>
        <w:t>受近几年消费疲弱的惯性作用，居民消费顾虑多，加之居民增收难度大，消费增长总体放缓；</w:t>
      </w:r>
      <w:r>
        <w:rPr>
          <w:rFonts w:hint="eastAsia" w:ascii="仿宋_GB2312" w:hAnsi="仿宋_GB2312" w:eastAsia="仿宋_GB2312" w:cs="仿宋_GB2312"/>
          <w:b w:val="0"/>
          <w:bCs w:val="0"/>
          <w:color w:val="auto"/>
          <w:sz w:val="32"/>
          <w:szCs w:val="32"/>
        </w:rPr>
        <w:t>需求端内生动能仍然不足，供给端产能过剩</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企业投资担心多，企业生产活动放缓；房地产投资依然低迷、传统基础设施投资增长空间有限，地方政府债务制约，投资面临压力。</w:t>
      </w:r>
      <w:r>
        <w:rPr>
          <w:rFonts w:hint="eastAsia" w:ascii="仿宋_GB2312" w:hAnsi="仿宋_GB2312" w:eastAsia="仿宋_GB2312" w:cs="仿宋_GB2312"/>
          <w:b/>
          <w:bCs/>
          <w:color w:val="auto"/>
          <w:kern w:val="0"/>
          <w:sz w:val="32"/>
          <w:szCs w:val="32"/>
          <w:lang w:val="en-US" w:eastAsia="zh-CN" w:bidi="ar"/>
        </w:rPr>
        <w:t>三是</w:t>
      </w:r>
      <w:r>
        <w:rPr>
          <w:rFonts w:hint="eastAsia" w:ascii="仿宋_GB2312" w:hAnsi="仿宋_GB2312" w:eastAsia="仿宋_GB2312" w:cs="仿宋_GB2312"/>
          <w:b/>
          <w:bCs/>
          <w:color w:val="auto"/>
          <w:sz w:val="32"/>
          <w:szCs w:val="32"/>
        </w:rPr>
        <w:t>实体经济发展困难</w:t>
      </w:r>
      <w:r>
        <w:rPr>
          <w:rFonts w:hint="eastAsia" w:ascii="仿宋_GB2312" w:hAnsi="仿宋_GB2312" w:eastAsia="仿宋_GB2312" w:cs="仿宋_GB2312"/>
          <w:b/>
          <w:bCs/>
          <w:color w:val="auto"/>
          <w:sz w:val="32"/>
          <w:szCs w:val="32"/>
          <w:lang w:eastAsia="zh-CN"/>
        </w:rPr>
        <w:t>不少</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kern w:val="0"/>
          <w:sz w:val="32"/>
          <w:szCs w:val="32"/>
          <w:lang w:val="en-US" w:eastAsia="zh-CN" w:bidi="ar"/>
        </w:rPr>
        <w:t>农业产业化程度不强，农产品附加值低，龙头企业辐射带动不强；工业结构单一，酒业依赖较为突出（白酒销售不景气），数字经济、新能源等新兴产业较为弱小，抗风险能力弱；现代先导型服务业占比偏低，文化旅游资源融合程度不深，二次消费乏力。</w:t>
      </w:r>
      <w:r>
        <w:rPr>
          <w:rFonts w:hint="eastAsia" w:ascii="仿宋_GB2312" w:hAnsi="仿宋_GB2312" w:eastAsia="仿宋_GB2312" w:cs="仿宋_GB2312"/>
          <w:b/>
          <w:bCs/>
          <w:color w:val="auto"/>
          <w:kern w:val="0"/>
          <w:sz w:val="32"/>
          <w:szCs w:val="32"/>
          <w:lang w:val="en-US" w:eastAsia="zh-CN" w:bidi="ar"/>
        </w:rPr>
        <w:t>四是</w:t>
      </w:r>
      <w:r>
        <w:rPr>
          <w:rFonts w:hint="eastAsia" w:ascii="仿宋_GB2312" w:hAnsi="仿宋_GB2312" w:eastAsia="仿宋_GB2312" w:cs="仿宋_GB2312"/>
          <w:b/>
          <w:bCs/>
          <w:color w:val="auto"/>
          <w:sz w:val="32"/>
          <w:szCs w:val="32"/>
        </w:rPr>
        <w:t>经济社会风险</w:t>
      </w:r>
      <w:r>
        <w:rPr>
          <w:rFonts w:hint="eastAsia" w:ascii="仿宋_GB2312" w:hAnsi="仿宋_GB2312" w:eastAsia="仿宋_GB2312" w:cs="仿宋_GB2312"/>
          <w:b/>
          <w:bCs/>
          <w:color w:val="auto"/>
          <w:sz w:val="32"/>
          <w:szCs w:val="32"/>
          <w:lang w:eastAsia="zh-CN"/>
        </w:rPr>
        <w:t>隐患</w:t>
      </w:r>
      <w:r>
        <w:rPr>
          <w:rFonts w:hint="eastAsia" w:ascii="仿宋_GB2312" w:hAnsi="仿宋_GB2312" w:eastAsia="仿宋_GB2312" w:cs="仿宋_GB2312"/>
          <w:b/>
          <w:bCs/>
          <w:color w:val="auto"/>
          <w:sz w:val="32"/>
          <w:szCs w:val="32"/>
        </w:rPr>
        <w:t>增多</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巩固拓展脱贫攻坚成果和乡村振兴有效衔接任务繁重，群众就业困难不少，民生保障仍有短板。</w:t>
      </w:r>
    </w:p>
    <w:p w14:paraId="43A0CDE4">
      <w:pPr>
        <w:pStyle w:val="7"/>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color w:val="auto"/>
          <w:sz w:val="32"/>
          <w:szCs w:val="32"/>
        </w:rPr>
      </w:pPr>
      <w:r>
        <w:rPr>
          <w:rFonts w:hint="eastAsia" w:ascii="黑体" w:hAnsi="宋体" w:eastAsia="黑体" w:cs="黑体"/>
          <w:color w:val="auto"/>
          <w:sz w:val="32"/>
          <w:szCs w:val="32"/>
        </w:rPr>
        <w:t>三、</w:t>
      </w:r>
      <w:r>
        <w:rPr>
          <w:rFonts w:hint="eastAsia" w:ascii="黑体" w:eastAsia="黑体" w:cs="黑体"/>
          <w:color w:val="auto"/>
          <w:sz w:val="32"/>
          <w:szCs w:val="32"/>
          <w:lang w:eastAsia="zh-CN"/>
        </w:rPr>
        <w:t>2025</w:t>
      </w:r>
      <w:r>
        <w:rPr>
          <w:rFonts w:hint="eastAsia" w:ascii="黑体" w:hAnsi="宋体" w:eastAsia="黑体" w:cs="黑体"/>
          <w:color w:val="auto"/>
          <w:sz w:val="32"/>
          <w:szCs w:val="32"/>
        </w:rPr>
        <w:t>年经济社会发展主要预期目标和任务</w:t>
      </w:r>
    </w:p>
    <w:p w14:paraId="2E110FEC">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pacing w:val="0"/>
          <w:kern w:val="21"/>
          <w:sz w:val="32"/>
          <w:szCs w:val="32"/>
          <w:lang w:eastAsia="zh-CN"/>
        </w:rPr>
      </w:pPr>
      <w:r>
        <w:rPr>
          <w:rFonts w:hint="default" w:ascii="楷体_GB2312" w:hAnsi="楷体_GB2312" w:eastAsia="楷体_GB2312" w:cs="楷体_GB2312"/>
          <w:b/>
          <w:bCs/>
          <w:color w:val="auto"/>
          <w:kern w:val="0"/>
          <w:sz w:val="32"/>
          <w:szCs w:val="32"/>
          <w:lang w:val="en-US" w:eastAsia="zh-CN" w:bidi="ar"/>
        </w:rPr>
        <w:t>（一）总体要求。</w:t>
      </w:r>
      <w:r>
        <w:rPr>
          <w:rFonts w:hint="eastAsia" w:ascii="仿宋_GB2312" w:hAnsi="仿宋_GB2312" w:eastAsia="仿宋_GB2312" w:cs="仿宋_GB2312"/>
          <w:color w:val="auto"/>
          <w:spacing w:val="0"/>
          <w:kern w:val="21"/>
          <w:sz w:val="32"/>
          <w:szCs w:val="32"/>
          <w:lang w:eastAsia="zh-CN"/>
        </w:rPr>
        <w:t>坚持以习近平新时代中国特色社会主义思想为指导，全面贯彻党的二十大、二十届二中、三中全会精神，坚持稳中求进工作总基调，完整、准确、全面贯彻新发展理念，进一步全面深化改革，围绕“三区两地”“五个湘西”使命任务，聚焦打造“州域经济核心增长极”目标，加力推进“产业突围、城市更新、文旅赋能”三大重点工作，高质量完成“十四五”规划目标任务，为实现“十五五”良好开局打牢基础。</w:t>
      </w:r>
    </w:p>
    <w:p w14:paraId="7849CDA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default" w:ascii="楷体_GB2312" w:hAnsi="楷体_GB2312" w:eastAsia="楷体_GB2312" w:cs="楷体_GB2312"/>
          <w:b/>
          <w:bCs/>
          <w:color w:val="auto"/>
          <w:kern w:val="0"/>
          <w:sz w:val="32"/>
          <w:szCs w:val="32"/>
          <w:lang w:val="en-US" w:eastAsia="zh-CN" w:bidi="ar"/>
        </w:rPr>
        <w:t>（二）</w:t>
      </w:r>
      <w:r>
        <w:rPr>
          <w:rFonts w:hint="eastAsia" w:ascii="楷体_GB2312" w:hAnsi="楷体_GB2312" w:eastAsia="楷体_GB2312" w:cs="楷体_GB2312"/>
          <w:b/>
          <w:bCs/>
          <w:color w:val="auto"/>
          <w:kern w:val="0"/>
          <w:sz w:val="32"/>
          <w:szCs w:val="32"/>
          <w:lang w:val="en-US" w:eastAsia="zh-CN" w:bidi="ar"/>
        </w:rPr>
        <w:t>全市</w:t>
      </w:r>
      <w:r>
        <w:rPr>
          <w:rFonts w:hint="default" w:ascii="楷体_GB2312" w:hAnsi="楷体_GB2312" w:eastAsia="楷体_GB2312" w:cs="楷体_GB2312"/>
          <w:b/>
          <w:bCs/>
          <w:color w:val="auto"/>
          <w:kern w:val="0"/>
          <w:sz w:val="32"/>
          <w:szCs w:val="32"/>
          <w:lang w:val="en-US" w:eastAsia="zh-CN" w:bidi="ar"/>
        </w:rPr>
        <w:t>主要预期目标。</w:t>
      </w:r>
      <w:r>
        <w:rPr>
          <w:rFonts w:hint="eastAsia" w:ascii="仿宋_GB2312" w:hAnsi="仿宋_GB2312" w:eastAsia="仿宋_GB2312" w:cs="仿宋_GB2312"/>
          <w:color w:val="auto"/>
          <w:kern w:val="0"/>
          <w:sz w:val="32"/>
          <w:szCs w:val="32"/>
          <w:lang w:val="en-US" w:eastAsia="zh-CN" w:bidi="ar"/>
        </w:rPr>
        <w:t>按照上述总体要求，坚持立足当前、着眼长远，综合考虑需要和可能，提出2025年全市经济社会发展主要预期目标：地区生产总值增长4%以上，市属规模工业增加值增长</w:t>
      </w:r>
      <w:r>
        <w:rPr>
          <w:rFonts w:hint="eastAsia" w:ascii="仿宋_GB2312" w:hAnsi="仿宋_GB2312" w:eastAsia="仿宋_GB2312" w:cs="仿宋_GB2312"/>
          <w:color w:val="auto"/>
          <w:kern w:val="0"/>
          <w:sz w:val="32"/>
          <w:szCs w:val="32"/>
          <w:u w:val="none"/>
          <w:lang w:val="en-US" w:eastAsia="zh-CN" w:bidi="ar"/>
        </w:rPr>
        <w:t>6%，市属</w:t>
      </w:r>
      <w:r>
        <w:rPr>
          <w:rFonts w:hint="eastAsia" w:ascii="仿宋_GB2312" w:hAnsi="仿宋_GB2312" w:eastAsia="仿宋_GB2312" w:cs="仿宋_GB2312"/>
          <w:color w:val="auto"/>
          <w:kern w:val="0"/>
          <w:sz w:val="32"/>
          <w:szCs w:val="32"/>
          <w:lang w:val="en-US" w:eastAsia="zh-CN" w:bidi="ar"/>
        </w:rPr>
        <w:t>固定资产投资增长6%，社会消费品零售总额增长3%，</w:t>
      </w:r>
      <w:r>
        <w:rPr>
          <w:rFonts w:hint="eastAsia" w:ascii="仿宋_GB2312" w:eastAsia="仿宋_GB2312" w:cs="仿宋_GB2312"/>
          <w:color w:val="auto"/>
          <w:kern w:val="2"/>
          <w:sz w:val="32"/>
          <w:szCs w:val="32"/>
          <w:lang w:val="en-US" w:eastAsia="zh-CN" w:bidi="ar"/>
        </w:rPr>
        <w:t>地方一般公共预算收入</w:t>
      </w:r>
      <w:r>
        <w:rPr>
          <w:rFonts w:hint="eastAsia" w:ascii="仿宋_GB2312" w:hAnsi="仿宋_GB2312" w:eastAsia="仿宋_GB2312" w:cs="仿宋_GB2312"/>
          <w:color w:val="auto"/>
          <w:kern w:val="0"/>
          <w:sz w:val="32"/>
          <w:szCs w:val="32"/>
          <w:lang w:val="en-US" w:eastAsia="zh-CN" w:bidi="ar"/>
        </w:rPr>
        <w:t>增长</w:t>
      </w:r>
      <w:r>
        <w:rPr>
          <w:rFonts w:hint="eastAsia" w:ascii="仿宋_GB2312" w:hAnsi="仿宋_GB2312" w:eastAsia="仿宋_GB2312" w:cs="仿宋_GB2312"/>
          <w:color w:val="auto"/>
          <w:kern w:val="0"/>
          <w:sz w:val="32"/>
          <w:szCs w:val="32"/>
          <w:u w:val="none"/>
          <w:lang w:val="en-US" w:eastAsia="zh-CN" w:bidi="ar"/>
        </w:rPr>
        <w:t>4%以上，</w:t>
      </w:r>
      <w:r>
        <w:rPr>
          <w:rFonts w:hint="eastAsia" w:ascii="仿宋_GB2312" w:hAnsi="仿宋_GB2312" w:eastAsia="仿宋_GB2312" w:cs="仿宋_GB2312"/>
          <w:color w:val="auto"/>
          <w:kern w:val="0"/>
          <w:sz w:val="32"/>
          <w:szCs w:val="32"/>
          <w:lang w:val="en-US" w:eastAsia="zh-CN" w:bidi="ar"/>
        </w:rPr>
        <w:t>城镇、农村居民人均可支配收入分别增长6%、7%左右；城镇调查失业率控制在省定范围内，完成省定粮食产量目标、能耗总量和强度双控目标、主要污染物减排目标任务。</w:t>
      </w:r>
    </w:p>
    <w:p w14:paraId="55FD91DE">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（三）吉首经开区预期目标。</w:t>
      </w:r>
      <w:r>
        <w:rPr>
          <w:rFonts w:hint="eastAsia" w:ascii="仿宋_GB2312" w:hAnsi="仿宋_GB2312" w:eastAsia="仿宋_GB2312" w:cs="仿宋_GB2312"/>
          <w:color w:val="auto"/>
          <w:kern w:val="0"/>
          <w:sz w:val="32"/>
          <w:szCs w:val="32"/>
          <w:lang w:val="en-US" w:eastAsia="zh-CN" w:bidi="ar"/>
        </w:rPr>
        <w:t>2025年园区主要预期目标:园区生产总值同比增长8%，技工贸收入同比增长5%，亩均税收同比增长10%以上，规模工业增加值同比增长10%，进出口6000万元以上，全省“五好园区”排名进位20名以上。</w:t>
      </w:r>
    </w:p>
    <w:p w14:paraId="646C6FC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楷体_GB2312" w:hAnsi="楷体_GB2312" w:eastAsia="楷体_GB2312" w:cs="楷体_GB2312"/>
          <w:b/>
          <w:bCs/>
          <w:color w:val="auto"/>
          <w:kern w:val="0"/>
          <w:sz w:val="32"/>
          <w:szCs w:val="32"/>
          <w:lang w:val="en-US" w:eastAsia="zh-CN" w:bidi="ar"/>
        </w:rPr>
        <w:t>（四）工作重点及措施。</w:t>
      </w:r>
      <w:r>
        <w:rPr>
          <w:rFonts w:hint="eastAsia" w:ascii="仿宋_GB2312" w:hAnsi="仿宋_GB2312" w:eastAsia="仿宋_GB2312" w:cs="仿宋_GB2312"/>
          <w:color w:val="auto"/>
          <w:kern w:val="0"/>
          <w:sz w:val="32"/>
          <w:szCs w:val="32"/>
          <w:lang w:val="en-US" w:eastAsia="zh-CN" w:bidi="ar"/>
        </w:rPr>
        <w:t>为实现经济社会发展目标，重点抓好以下几个方面工作。</w:t>
      </w:r>
    </w:p>
    <w:p w14:paraId="2C4590C1">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2"/>
          <w:sz w:val="32"/>
          <w:szCs w:val="32"/>
          <w:lang w:val="en-US" w:eastAsia="zh-CN" w:bidi="ar-SA"/>
        </w:rPr>
        <w:t>1.多管齐下扩大需求，着力推动经济运行回升向好。一是抢抓机遇抓谋划。</w:t>
      </w:r>
      <w:r>
        <w:rPr>
          <w:rFonts w:hint="eastAsia" w:ascii="仿宋_GB2312" w:hAnsi="仿宋_GB2312" w:eastAsia="仿宋_GB2312" w:cs="仿宋_GB2312"/>
          <w:color w:val="auto"/>
          <w:kern w:val="0"/>
          <w:sz w:val="32"/>
          <w:szCs w:val="32"/>
          <w:lang w:val="en-US" w:eastAsia="zh-CN" w:bidi="ar"/>
        </w:rPr>
        <w:t>抢抓国家一揽子增量政策举措、十三届全国少数民族传统体育运动会和建州70周年等重大机遇，围绕城市更新、“两重”“两新”等政策投资方向，结合“十五五”规划编制，精心谋划一批强基础、利长远、补短板的大项目。做好53个2025年中央省预算内储备项目、17个2025年超长期特别国债“两重”“两新”储备项目、31个2025年专项债项目的项目前期工作及“一件两证”的办理，争取尽快达到开工条件。</w:t>
      </w:r>
      <w:r>
        <w:rPr>
          <w:rFonts w:hint="eastAsia" w:ascii="仿宋_GB2312" w:hAnsi="仿宋_GB2312" w:eastAsia="仿宋_GB2312" w:cs="仿宋_GB2312"/>
          <w:b/>
          <w:bCs/>
          <w:color w:val="auto"/>
          <w:kern w:val="2"/>
          <w:sz w:val="32"/>
          <w:szCs w:val="32"/>
          <w:lang w:val="en-US" w:eastAsia="zh-CN" w:bidi="ar-SA"/>
        </w:rPr>
        <w:t>二是推进项目抓投资。</w:t>
      </w:r>
      <w:r>
        <w:rPr>
          <w:rFonts w:hint="eastAsia" w:ascii="仿宋_GB2312" w:hAnsi="仿宋_GB2312" w:eastAsia="仿宋_GB2312" w:cs="仿宋_GB2312"/>
          <w:color w:val="auto"/>
          <w:kern w:val="0"/>
          <w:sz w:val="32"/>
          <w:szCs w:val="32"/>
          <w:lang w:val="en-US" w:eastAsia="zh-CN" w:bidi="ar"/>
        </w:rPr>
        <w:t>围绕51个2025年拟申报州市重点建设项目，对标对表全年目标任务、开竣工时间节点，建立项目推进工作台账，分级负责、专班推进，力争完成固定资产年度投资65亿元以上。加快游客集散及民俗文化展示中心建设、大兴寨水库安置区农贸市场及基础配套设施建设等36个新开工重点项目的实质性开工，尽快形成实物工作量，为经济发展夯实更加牢固的基础。</w:t>
      </w:r>
      <w:r>
        <w:rPr>
          <w:rFonts w:hint="eastAsia" w:ascii="仿宋_GB2312" w:hAnsi="仿宋_GB2312" w:eastAsia="仿宋_GB2312" w:cs="仿宋_GB2312"/>
          <w:b/>
          <w:bCs/>
          <w:color w:val="auto"/>
          <w:kern w:val="2"/>
          <w:sz w:val="32"/>
          <w:szCs w:val="32"/>
          <w:lang w:val="en-US" w:eastAsia="zh-CN" w:bidi="ar-SA"/>
        </w:rPr>
        <w:t>三是促进消费抓内需。</w:t>
      </w:r>
      <w:r>
        <w:rPr>
          <w:rFonts w:hint="eastAsia" w:ascii="仿宋_GB2312" w:hAnsi="仿宋_GB2312" w:eastAsia="仿宋_GB2312" w:cs="仿宋_GB2312"/>
          <w:color w:val="auto"/>
          <w:kern w:val="0"/>
          <w:sz w:val="32"/>
          <w:szCs w:val="32"/>
          <w:lang w:val="en-US" w:eastAsia="zh-CN" w:bidi="ar"/>
        </w:rPr>
        <w:t>广泛动员重点商贸企业抓住元旦春节等重要节庆节点，开展汽车以旧换新、家电以旧换新展、电动自行车以旧换新等系列会展活动。加强对即时零售、直播电商、社交电商等消费新业态新模式的分析研判，及时跟进抖音电商、京东直播等一批行业龙头或者发展迅猛的企业，争取落户市内；加快打造一刻钟便民生活圈，不断提升辖区居民生活便利化、品质化程度；积极培育星兴冷链物流、武陵山智慧仓储冷链物流园等一批规模较大、实力较强、辐射较广的冷链物流、仓储标杆并积极发挥其模范引领作用，加快补齐县域冷链物流设施短板，力争实现4A级物流企业零的突破。持续推动老字号创新发展，做好“老字号”申报工作，打响吉首消费特色品牌。</w:t>
      </w:r>
      <w:r>
        <w:rPr>
          <w:rFonts w:hint="eastAsia" w:ascii="仿宋_GB2312" w:hAnsi="仿宋_GB2312" w:eastAsia="仿宋_GB2312" w:cs="仿宋_GB2312"/>
          <w:b/>
          <w:bCs/>
          <w:color w:val="auto"/>
          <w:kern w:val="2"/>
          <w:sz w:val="32"/>
          <w:szCs w:val="32"/>
          <w:lang w:val="en-US" w:eastAsia="zh-CN" w:bidi="ar-SA"/>
        </w:rPr>
        <w:t>四是招商引资抓外源。</w:t>
      </w:r>
      <w:r>
        <w:rPr>
          <w:rFonts w:hint="eastAsia" w:ascii="仿宋_GB2312" w:hAnsi="仿宋_GB2312" w:eastAsia="仿宋_GB2312" w:cs="仿宋_GB2312"/>
          <w:color w:val="auto"/>
          <w:kern w:val="0"/>
          <w:sz w:val="32"/>
          <w:szCs w:val="32"/>
          <w:lang w:val="en-US" w:eastAsia="zh-CN" w:bidi="ar"/>
        </w:rPr>
        <w:t>优化驻点招商队伍，将驻点招商和平台公司、专业人员招商、以商招商有效结合起来，形成前后联动、多种形式并举的高效招商体制。聚焦投资发展前景、产业发展急需的领域，精准招商。力争实现省外境内资金10%以上增长，引进“三类500强”企业新投资项目2个以上。</w:t>
      </w:r>
    </w:p>
    <w:p w14:paraId="4DF5D50F">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kern w:val="0"/>
          <w:sz w:val="32"/>
          <w:szCs w:val="32"/>
          <w:lang w:val="en-US" w:eastAsia="zh-CN" w:bidi="ar"/>
        </w:rPr>
      </w:pPr>
      <w:r>
        <w:rPr>
          <w:rFonts w:hint="eastAsia" w:ascii="仿宋_GB2312" w:hAnsi="仿宋_GB2312" w:eastAsia="仿宋_GB2312" w:cs="仿宋_GB2312"/>
          <w:b/>
          <w:bCs/>
          <w:color w:val="auto"/>
          <w:kern w:val="2"/>
          <w:sz w:val="32"/>
          <w:szCs w:val="32"/>
          <w:lang w:val="en-US" w:eastAsia="zh-CN" w:bidi="ar-SA"/>
        </w:rPr>
        <w:t>2.改革举措加快落地，着力激发高质量发展内生动力。</w:t>
      </w:r>
      <w:r>
        <w:rPr>
          <w:rFonts w:hint="eastAsia" w:ascii="仿宋_GB2312" w:hAnsi="仿宋_GB2312" w:eastAsia="仿宋_GB2312" w:cs="仿宋_GB2312"/>
          <w:b/>
          <w:bCs/>
          <w:color w:val="auto"/>
          <w:kern w:val="0"/>
          <w:sz w:val="32"/>
          <w:szCs w:val="32"/>
          <w:lang w:val="en-US" w:eastAsia="zh-CN" w:bidi="ar"/>
        </w:rPr>
        <w:t>一是深化重点领域改革。</w:t>
      </w:r>
      <w:r>
        <w:rPr>
          <w:rFonts w:hint="eastAsia" w:ascii="仿宋_GB2312" w:hAnsi="仿宋_GB2312" w:eastAsia="仿宋_GB2312" w:cs="仿宋_GB2312"/>
          <w:b w:val="0"/>
          <w:bCs w:val="0"/>
          <w:color w:val="auto"/>
          <w:kern w:val="0"/>
          <w:sz w:val="32"/>
          <w:szCs w:val="32"/>
          <w:lang w:val="en-US" w:eastAsia="zh-CN" w:bidi="ar"/>
        </w:rPr>
        <w:t>统</w:t>
      </w:r>
      <w:r>
        <w:rPr>
          <w:rFonts w:hint="eastAsia" w:ascii="仿宋_GB2312" w:hAnsi="仿宋_GB2312" w:eastAsia="仿宋_GB2312" w:cs="仿宋_GB2312"/>
          <w:color w:val="auto"/>
          <w:kern w:val="0"/>
          <w:sz w:val="32"/>
          <w:szCs w:val="32"/>
          <w:lang w:val="en-US" w:eastAsia="zh-CN" w:bidi="ar"/>
        </w:rPr>
        <w:t>筹推进财税、金融等领域改革，推行零基预算，开展支出政策及项目资金盘活存量扩大供给，集中精力保“三保”。深化要素市场化配置体制机制改革，提升要素协同配置效率，推动资金、土地、用能等要素优先投向优势产业。推进国有“三资”管理改革，盘活处置国有资产资源。</w:t>
      </w:r>
      <w:r>
        <w:rPr>
          <w:rFonts w:hint="eastAsia" w:ascii="仿宋_GB2312" w:hAnsi="仿宋_GB2312" w:eastAsia="仿宋_GB2312" w:cs="仿宋_GB2312"/>
          <w:b/>
          <w:bCs/>
          <w:color w:val="auto"/>
          <w:kern w:val="0"/>
          <w:sz w:val="32"/>
          <w:szCs w:val="32"/>
          <w:lang w:val="en-US" w:eastAsia="zh-CN" w:bidi="ar"/>
        </w:rPr>
        <w:t>二是持续优化营商环境。</w:t>
      </w:r>
      <w:r>
        <w:rPr>
          <w:rFonts w:hint="eastAsia" w:ascii="仿宋_GB2312" w:hAnsi="仿宋_GB2312" w:eastAsia="仿宋_GB2312" w:cs="仿宋_GB2312"/>
          <w:color w:val="auto"/>
          <w:kern w:val="0"/>
          <w:sz w:val="32"/>
          <w:szCs w:val="32"/>
          <w:lang w:val="en-US" w:eastAsia="zh-CN" w:bidi="ar"/>
        </w:rPr>
        <w:t>扎实推进全国统一大市场建设，加快完善与负面清单动态调整机制相适应的审批机制、监管机制。加强社会信用体系建设，健全跨部门综合监管制度，大力推行赋码保护、赋能发展、赋网服务，监管服务机制，探索诚信等级免检相关措施。</w:t>
      </w:r>
      <w:r>
        <w:rPr>
          <w:rFonts w:hint="eastAsia" w:ascii="仿宋_GB2312" w:hAnsi="仿宋_GB2312" w:eastAsia="仿宋_GB2312" w:cs="仿宋_GB2312"/>
          <w:b/>
          <w:bCs/>
          <w:color w:val="auto"/>
          <w:kern w:val="0"/>
          <w:sz w:val="32"/>
          <w:szCs w:val="32"/>
          <w:lang w:val="en-US" w:eastAsia="zh-CN" w:bidi="ar"/>
        </w:rPr>
        <w:t>三是实施创新驱动发展。</w:t>
      </w:r>
      <w:r>
        <w:rPr>
          <w:rFonts w:hint="eastAsia" w:ascii="仿宋_GB2312" w:hAnsi="仿宋_GB2312" w:eastAsia="仿宋_GB2312" w:cs="仿宋_GB2312"/>
          <w:color w:val="auto"/>
          <w:kern w:val="0"/>
          <w:sz w:val="32"/>
          <w:szCs w:val="32"/>
          <w:lang w:val="en-US" w:eastAsia="zh-CN" w:bidi="ar"/>
        </w:rPr>
        <w:t>完善推动高质量发展激励约束机制，因地制宜发展新质生产力。加强创新主体培育，力争高新技术企业净增3家，科技型中小企业入库备案数250家，入规企业5家以上，新增3家以上省级专精特新中小企业。抓好成果转化，争取省级项目立项4项以上，全市技术合同成交额、技术合同登记项数在2024年基础上有新增。抓好创新平台能级提升，力争省级创新平台1家以上。抓好关键核心技术攻关，指导企业完成好湘西州揭榜挂帅项目，支持我市馥郁香型白酒、生物制药、新材料电子信息等产业链企业联合高校科研院所成立创新联合体、新型研发机构。</w:t>
      </w:r>
    </w:p>
    <w:p w14:paraId="27DC71E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2"/>
          <w:sz w:val="32"/>
          <w:szCs w:val="32"/>
          <w:lang w:val="en-US" w:eastAsia="zh-CN" w:bidi="ar-SA"/>
        </w:rPr>
        <w:t>3.坚持发展实体经济，着力完善现代产业体系布局。</w:t>
      </w:r>
      <w:r>
        <w:rPr>
          <w:rFonts w:hint="eastAsia" w:ascii="仿宋_GB2312" w:hAnsi="仿宋_GB2312" w:eastAsia="仿宋_GB2312" w:cs="仿宋_GB2312"/>
          <w:b/>
          <w:bCs/>
          <w:color w:val="auto"/>
          <w:kern w:val="0"/>
          <w:sz w:val="32"/>
          <w:szCs w:val="32"/>
          <w:lang w:val="en-US" w:eastAsia="zh-CN" w:bidi="ar"/>
        </w:rPr>
        <w:t>一是加大丰富文旅产业。</w:t>
      </w:r>
      <w:r>
        <w:rPr>
          <w:rFonts w:hint="eastAsia" w:ascii="仿宋_GB2312" w:hAnsi="仿宋_GB2312" w:eastAsia="仿宋_GB2312" w:cs="仿宋_GB2312"/>
          <w:color w:val="auto"/>
          <w:kern w:val="0"/>
          <w:sz w:val="32"/>
          <w:szCs w:val="32"/>
          <w:lang w:val="en-US" w:eastAsia="zh-CN" w:bidi="ar"/>
        </w:rPr>
        <w:t>以“旅游+”“+旅游”为抓手，进一步推动旅游与文化、农业、体育、交通、工业、科技等行业领域的深入融合，着力完善多元化旅游产品和高品质的旅游服务。加快构建以矮寨奇观旅游区为引领，乾州古城和隘口苗疆茶谷景区为两级，乡村旅游、商业综合体等各具特色的“一核引领，两极延伸，多点联动”文旅产业格局。力争接待游客、旅游收入分别增长2.2%、2.9%以上。</w:t>
      </w:r>
      <w:r>
        <w:rPr>
          <w:rFonts w:hint="eastAsia" w:ascii="仿宋_GB2312" w:hAnsi="仿宋_GB2312" w:eastAsia="仿宋_GB2312" w:cs="仿宋_GB2312"/>
          <w:b/>
          <w:bCs/>
          <w:color w:val="auto"/>
          <w:kern w:val="0"/>
          <w:sz w:val="32"/>
          <w:szCs w:val="32"/>
          <w:lang w:val="en-US" w:eastAsia="zh-CN" w:bidi="ar"/>
        </w:rPr>
        <w:t>二是持续发展特色农业。</w:t>
      </w:r>
      <w:r>
        <w:rPr>
          <w:rFonts w:hint="eastAsia" w:ascii="仿宋_GB2312" w:hAnsi="仿宋_GB2312" w:eastAsia="仿宋_GB2312" w:cs="仿宋_GB2312"/>
          <w:b w:val="0"/>
          <w:bCs w:val="0"/>
          <w:color w:val="auto"/>
          <w:kern w:val="0"/>
          <w:sz w:val="32"/>
          <w:szCs w:val="32"/>
          <w:lang w:val="en-US" w:eastAsia="zh-CN" w:bidi="ar"/>
        </w:rPr>
        <w:t>继续围绕茶叶、猕猴桃、柑橘、草本药材等特色产业,大力实施提质增效计划。加强龙头企业培育,抓好农产品精深加工,提高农业发展综合效益。大力发展订单农业，力争全市订单农业面积2万亩以上，综合产值5亿元以上。</w:t>
      </w:r>
      <w:r>
        <w:rPr>
          <w:rFonts w:hint="eastAsia" w:ascii="仿宋_GB2312" w:hAnsi="仿宋_GB2312" w:eastAsia="仿宋_GB2312" w:cs="仿宋_GB2312"/>
          <w:b/>
          <w:bCs/>
          <w:color w:val="auto"/>
          <w:kern w:val="0"/>
          <w:sz w:val="32"/>
          <w:szCs w:val="32"/>
          <w:lang w:val="en-US" w:eastAsia="zh-CN" w:bidi="ar"/>
        </w:rPr>
        <w:t>三是积极培育新兴产业。</w:t>
      </w:r>
      <w:r>
        <w:rPr>
          <w:rFonts w:hint="eastAsia" w:ascii="仿宋_GB2312" w:hAnsi="仿宋_GB2312" w:eastAsia="仿宋_GB2312" w:cs="仿宋_GB2312"/>
          <w:b w:val="0"/>
          <w:bCs w:val="0"/>
          <w:color w:val="auto"/>
          <w:kern w:val="0"/>
          <w:sz w:val="32"/>
          <w:szCs w:val="32"/>
          <w:lang w:val="en-US" w:eastAsia="zh-CN" w:bidi="ar"/>
        </w:rPr>
        <w:t>大抓以酒鬼酒为重点的白酒产业体系建设,加快打造绿色食品加工、中医药和生物医药、新能源等产业链群,积极发展装配式建筑、电子信息等新兴产业,推进数字技术与实体经济深度融合,促进数字产业化、产业数字化,做大数字经济规模</w:t>
      </w:r>
      <w:r>
        <w:rPr>
          <w:rFonts w:hint="eastAsia" w:ascii="仿宋_GB2312" w:hAnsi="仿宋_GB2312" w:eastAsia="仿宋_GB2312" w:cs="仿宋_GB2312"/>
          <w:b/>
          <w:bCs/>
          <w:color w:val="auto"/>
          <w:kern w:val="0"/>
          <w:sz w:val="32"/>
          <w:szCs w:val="32"/>
          <w:lang w:val="en-US" w:eastAsia="zh-CN" w:bidi="ar"/>
        </w:rPr>
        <w:t>。四是不断优化市场主体。</w:t>
      </w:r>
      <w:r>
        <w:rPr>
          <w:rFonts w:hint="eastAsia" w:ascii="仿宋_GB2312" w:hAnsi="仿宋_GB2312" w:eastAsia="仿宋_GB2312" w:cs="仿宋_GB2312"/>
          <w:color w:val="auto"/>
          <w:kern w:val="0"/>
          <w:sz w:val="32"/>
          <w:szCs w:val="32"/>
          <w:lang w:val="en-US" w:eastAsia="zh-CN" w:bidi="ar"/>
        </w:rPr>
        <w:t>全面深化国企改革，加快推进涉改企业的清产核资力度和股权划转进度，推动国有资本和国有企业做强做优做大，增强核心功能，提升核心竞争力。继续深入实施企业上市“金芙蓉”跃升行动，积极推动边城生物探索境外上市路径，培育宏佳达、荣畅电子在湖南股交所挂牌。</w:t>
      </w:r>
    </w:p>
    <w:p w14:paraId="29655E4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4.提升园区承载能力，着力夯实企业优质发展平台。</w:t>
      </w:r>
      <w:r>
        <w:rPr>
          <w:rFonts w:hint="eastAsia" w:ascii="仿宋_GB2312" w:hAnsi="仿宋_GB2312" w:eastAsia="仿宋_GB2312" w:cs="仿宋_GB2312"/>
          <w:b/>
          <w:bCs/>
          <w:color w:val="auto"/>
          <w:kern w:val="0"/>
          <w:sz w:val="32"/>
          <w:szCs w:val="32"/>
          <w:lang w:val="en-US" w:eastAsia="zh-CN" w:bidi="ar"/>
        </w:rPr>
        <w:t>一是提升园区要素保障服务。</w:t>
      </w:r>
      <w:r>
        <w:rPr>
          <w:rFonts w:hint="eastAsia" w:ascii="仿宋_GB2312" w:hAnsi="仿宋_GB2312" w:eastAsia="仿宋_GB2312" w:cs="仿宋_GB2312"/>
          <w:color w:val="auto"/>
          <w:kern w:val="0"/>
          <w:sz w:val="32"/>
          <w:szCs w:val="32"/>
          <w:lang w:val="en-US" w:eastAsia="zh-CN" w:bidi="ar"/>
        </w:rPr>
        <w:t>加快园区剥离社会事务进程，聚焦产业发展主责主业。树牢“亩均效益”发展导向，提升入园企业产值税收实绩；推进园区扩区工作，加快推动国有企业释放置换一批可用工业用地，拓展产业发展空间。</w:t>
      </w:r>
      <w:r>
        <w:rPr>
          <w:rFonts w:hint="eastAsia" w:ascii="仿宋_GB2312" w:hAnsi="仿宋_GB2312" w:eastAsia="仿宋_GB2312" w:cs="仿宋_GB2312"/>
          <w:b/>
          <w:bCs/>
          <w:color w:val="auto"/>
          <w:kern w:val="0"/>
          <w:sz w:val="32"/>
          <w:szCs w:val="32"/>
          <w:lang w:val="en-US" w:eastAsia="zh-CN" w:bidi="ar"/>
        </w:rPr>
        <w:t>二是加快打造特色产业集群</w:t>
      </w:r>
      <w:r>
        <w:rPr>
          <w:rFonts w:hint="eastAsia" w:ascii="仿宋_GB2312" w:hAnsi="仿宋_GB2312" w:eastAsia="仿宋_GB2312" w:cs="仿宋_GB2312"/>
          <w:color w:val="auto"/>
          <w:kern w:val="0"/>
          <w:sz w:val="32"/>
          <w:szCs w:val="32"/>
          <w:lang w:val="en-US" w:eastAsia="zh-CN" w:bidi="ar"/>
        </w:rPr>
        <w:t>。大力推动旅行箱、包袋、服饰、鞋业等劳动密集型产业发展，特别是抢抓乾顺箱包产业园、上海缘扬箱包、瑞安川黔籍箱包企业集群、花都雅科达、叄幺捌等包袋企业落地投产，抓好泓湘醋业、鼎丰农机、高原生化、首领箱包配套、长潭泵业阴阳极板项目等拿地建设，抓紧金荣集团、曾氏企业FPC等招商项目对接洽谈。围绕本土优势，支持烟酒食品、新材料等产业发展，努力培育一批具有较强市场竞争力的本土优质企业。</w:t>
      </w:r>
    </w:p>
    <w:p w14:paraId="411EE4A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5.擦亮高质量发展底色，着力推进绿色低碳发展。一是巩固污染防治攻坚战成果。</w:t>
      </w:r>
      <w:r>
        <w:rPr>
          <w:rFonts w:hint="eastAsia" w:ascii="仿宋_GB2312" w:hAnsi="仿宋_GB2312" w:eastAsia="仿宋_GB2312" w:cs="仿宋_GB2312"/>
          <w:b w:val="0"/>
          <w:bCs w:val="0"/>
          <w:color w:val="auto"/>
          <w:kern w:val="2"/>
          <w:sz w:val="32"/>
          <w:szCs w:val="32"/>
          <w:lang w:val="en-US" w:eastAsia="zh-CN" w:bidi="ar-SA"/>
        </w:rPr>
        <w:t>力争环境空气质量综合指数保持代表湘西州在全省第一；持续开展农村生活污水治理、加强峒河及万溶江流域污染源源头管控，确保全市地表水国、省控考核断面水质优良比例100%，集中式饮用水源地水质达标率100%；加强污染地块准入监管，确保土壤环境安全稳定。</w:t>
      </w:r>
      <w:r>
        <w:rPr>
          <w:rFonts w:hint="eastAsia" w:ascii="仿宋_GB2312" w:hAnsi="仿宋_GB2312" w:eastAsia="仿宋_GB2312" w:cs="仿宋_GB2312"/>
          <w:b/>
          <w:bCs/>
          <w:color w:val="auto"/>
          <w:kern w:val="2"/>
          <w:sz w:val="32"/>
          <w:szCs w:val="32"/>
          <w:lang w:val="en-US" w:eastAsia="zh-CN" w:bidi="ar-SA"/>
        </w:rPr>
        <w:t>二是筑牢绿色生态屏障。</w:t>
      </w:r>
      <w:r>
        <w:rPr>
          <w:rFonts w:hint="eastAsia" w:ascii="仿宋_GB2312" w:hAnsi="仿宋_GB2312" w:eastAsia="仿宋_GB2312" w:cs="仿宋_GB2312"/>
          <w:b w:val="0"/>
          <w:bCs w:val="0"/>
          <w:color w:val="auto"/>
          <w:kern w:val="2"/>
          <w:sz w:val="32"/>
          <w:szCs w:val="32"/>
          <w:lang w:val="en-US" w:eastAsia="zh-CN" w:bidi="ar-SA"/>
        </w:rPr>
        <w:t>严格落实“林长制”“河长制”和长江“十年禁渔”措施,继续实施国土绿化提质、生态修复、城乡绿化美化工程,加强森林资源保护利用。</w:t>
      </w:r>
      <w:r>
        <w:rPr>
          <w:rFonts w:hint="eastAsia" w:ascii="仿宋_GB2312" w:hAnsi="仿宋_GB2312" w:eastAsia="仿宋_GB2312" w:cs="仿宋_GB2312"/>
          <w:b/>
          <w:bCs/>
          <w:color w:val="auto"/>
          <w:kern w:val="2"/>
          <w:sz w:val="32"/>
          <w:szCs w:val="32"/>
          <w:lang w:val="en-US" w:eastAsia="zh-CN" w:bidi="ar-SA"/>
        </w:rPr>
        <w:t>三是加快推动生产生活方式绿色转型。</w:t>
      </w:r>
      <w:r>
        <w:rPr>
          <w:rFonts w:hint="eastAsia" w:ascii="仿宋_GB2312" w:hAnsi="仿宋_GB2312" w:eastAsia="仿宋_GB2312" w:cs="仿宋_GB2312"/>
          <w:b w:val="0"/>
          <w:bCs w:val="0"/>
          <w:color w:val="auto"/>
          <w:kern w:val="2"/>
          <w:sz w:val="32"/>
          <w:szCs w:val="32"/>
          <w:lang w:val="en-US" w:eastAsia="zh-CN" w:bidi="ar-SA"/>
        </w:rPr>
        <w:t>重点实施推动能源结构绿色转型、促进节能降碳协同增效等“碳达峰十大行动”。坚决遏制“两高一低”盲目发展，全面实施“能效”领跑者制度。强化绿色低碳宣传教育，倡导绿色简约的生活方式。</w:t>
      </w:r>
    </w:p>
    <w:p w14:paraId="1EB94D3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eastAsia="CESI仿宋-GB2312" w:cs="Times New Roman"/>
          <w:color w:val="auto"/>
          <w:sz w:val="32"/>
          <w:lang w:val="en-US" w:eastAsia="zh-CN"/>
        </w:rPr>
      </w:pPr>
      <w:r>
        <w:rPr>
          <w:rFonts w:hint="eastAsia" w:ascii="仿宋_GB2312" w:hAnsi="仿宋_GB2312" w:eastAsia="仿宋_GB2312" w:cs="仿宋_GB2312"/>
          <w:b/>
          <w:bCs/>
          <w:color w:val="auto"/>
          <w:kern w:val="2"/>
          <w:sz w:val="32"/>
          <w:szCs w:val="32"/>
          <w:lang w:val="en-US" w:eastAsia="zh-CN" w:bidi="ar-SA"/>
        </w:rPr>
        <w:t>6.完善社会民生保障，着力提高人民生活幸福指数。一是抓好就业创业服务。</w:t>
      </w:r>
      <w:r>
        <w:rPr>
          <w:rFonts w:hint="eastAsia" w:ascii="仿宋_GB2312" w:hAnsi="仿宋_GB2312" w:eastAsia="仿宋_GB2312" w:cs="仿宋_GB2312"/>
          <w:b w:val="0"/>
          <w:bCs w:val="0"/>
          <w:color w:val="auto"/>
          <w:kern w:val="2"/>
          <w:sz w:val="32"/>
          <w:szCs w:val="32"/>
          <w:lang w:val="en-US" w:eastAsia="zh-CN" w:bidi="ar-SA"/>
        </w:rPr>
        <w:t>统筹做好高校毕业生、脱贫人口、退役军人、城镇就业困难群体等重点群体就业服务,稳住就业基本盘，实现城镇新增就业2600人以上。</w:t>
      </w:r>
      <w:r>
        <w:rPr>
          <w:rFonts w:hint="eastAsia" w:ascii="仿宋_GB2312" w:hAnsi="仿宋_GB2312" w:eastAsia="仿宋_GB2312" w:cs="仿宋_GB2312"/>
          <w:b/>
          <w:bCs/>
          <w:color w:val="auto"/>
          <w:kern w:val="2"/>
          <w:sz w:val="32"/>
          <w:szCs w:val="32"/>
          <w:lang w:val="en-US" w:eastAsia="zh-CN" w:bidi="ar-SA"/>
        </w:rPr>
        <w:t>二是办好人民满意的教育。</w:t>
      </w:r>
      <w:r>
        <w:rPr>
          <w:rFonts w:hint="eastAsia" w:ascii="仿宋_GB2312" w:hAnsi="仿宋_GB2312" w:eastAsia="仿宋_GB2312" w:cs="仿宋_GB2312"/>
          <w:b w:val="0"/>
          <w:bCs w:val="0"/>
          <w:color w:val="auto"/>
          <w:kern w:val="2"/>
          <w:sz w:val="32"/>
          <w:szCs w:val="32"/>
          <w:lang w:val="en-US" w:eastAsia="zh-CN" w:bidi="ar-SA"/>
        </w:rPr>
        <w:t>积极争取市民族中学学生宿舍及食堂建设、市一初改扩建项目和乾州新区公办幼儿园新建改扩建项目资金；加强合格学校、薄弱学校改造、校舍维修改造等专项工程的建设力度；抢抓举办第13届全国少数民族传统体育运动会机遇，加强体教融合建设，实现“一校一品、一校多品”发展格局。</w:t>
      </w:r>
      <w:r>
        <w:rPr>
          <w:rFonts w:hint="eastAsia" w:ascii="仿宋_GB2312" w:hAnsi="仿宋_GB2312" w:eastAsia="仿宋_GB2312" w:cs="仿宋_GB2312"/>
          <w:b/>
          <w:bCs/>
          <w:color w:val="auto"/>
          <w:kern w:val="2"/>
          <w:sz w:val="32"/>
          <w:szCs w:val="32"/>
          <w:lang w:val="en-US" w:eastAsia="zh-CN" w:bidi="ar-SA"/>
        </w:rPr>
        <w:t>三是提升卫健服务能力。</w:t>
      </w:r>
      <w:r>
        <w:rPr>
          <w:rFonts w:hint="eastAsia" w:ascii="仿宋_GB2312" w:hAnsi="仿宋_GB2312" w:eastAsia="仿宋_GB2312" w:cs="仿宋_GB2312"/>
          <w:b w:val="0"/>
          <w:bCs w:val="0"/>
          <w:color w:val="auto"/>
          <w:kern w:val="2"/>
          <w:sz w:val="32"/>
          <w:szCs w:val="32"/>
          <w:lang w:val="en-US" w:eastAsia="zh-CN" w:bidi="ar-SA"/>
        </w:rPr>
        <w:t>常态化开展爱国卫生运动和健康吉首行动,加强基层医疗卫生服务体系建设,大力推进紧密型医共体建设,不断提升基层医疗卫生服务水平。</w:t>
      </w:r>
      <w:r>
        <w:rPr>
          <w:rFonts w:hint="eastAsia" w:ascii="仿宋_GB2312" w:hAnsi="仿宋_GB2312" w:eastAsia="仿宋_GB2312" w:cs="仿宋_GB2312"/>
          <w:b/>
          <w:bCs/>
          <w:color w:val="auto"/>
          <w:kern w:val="2"/>
          <w:sz w:val="32"/>
          <w:szCs w:val="32"/>
          <w:lang w:val="en-US" w:eastAsia="zh-CN" w:bidi="ar-SA"/>
        </w:rPr>
        <w:t>四是抓实社会民生保障。</w:t>
      </w:r>
      <w:r>
        <w:rPr>
          <w:rFonts w:hint="eastAsia" w:ascii="仿宋_GB2312" w:hAnsi="仿宋_GB2312" w:eastAsia="仿宋_GB2312" w:cs="仿宋_GB2312"/>
          <w:b w:val="0"/>
          <w:bCs w:val="0"/>
          <w:color w:val="auto"/>
          <w:kern w:val="2"/>
          <w:sz w:val="32"/>
          <w:szCs w:val="32"/>
          <w:lang w:val="en-US" w:eastAsia="zh-CN" w:bidi="ar-SA"/>
        </w:rPr>
        <w:t>突出抓好民生实事项目建设，补齐民生短板，兜牢民生底线，在完成省州实事任务的基础上，集中办好一批人大代表票决民生实事项目。进一步扩大社会保险覆盖面,积极发展居家社区养老服务,加强对未成年人的关爱保护,稳步提高社会救助标准。统筹发展和安全，有效防范化解重大风险，抓好社会安保维稳，安全生产等工作，为地方经济社会发展营造良好的环境。</w:t>
      </w:r>
    </w:p>
    <w:p w14:paraId="31A43269">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各位代表，做好2025年全市经济社会发展各项工作</w:t>
      </w:r>
      <w:r>
        <w:rPr>
          <w:rFonts w:hint="eastAsia" w:ascii="仿宋_GB2312" w:hAnsi="仿宋_GB2312" w:eastAsia="仿宋_GB2312" w:cs="仿宋_GB2312"/>
          <w:color w:val="auto"/>
          <w:sz w:val="32"/>
          <w:szCs w:val="32"/>
        </w:rPr>
        <w:t>意义重大、</w:t>
      </w:r>
      <w:r>
        <w:rPr>
          <w:rFonts w:hint="eastAsia" w:ascii="仿宋_GB2312" w:hAnsi="仿宋_GB2312" w:eastAsia="仿宋_GB2312" w:cs="仿宋_GB2312"/>
          <w:color w:val="auto"/>
          <w:sz w:val="32"/>
          <w:szCs w:val="32"/>
          <w:lang w:val="en-US" w:eastAsia="zh-CN"/>
        </w:rPr>
        <w:t>任务艰巨。</w:t>
      </w:r>
      <w:r>
        <w:rPr>
          <w:rFonts w:hint="eastAsia" w:ascii="仿宋_GB2312" w:hAnsi="仿宋_GB2312" w:eastAsia="仿宋_GB2312" w:cs="仿宋_GB2312"/>
          <w:color w:val="auto"/>
          <w:sz w:val="32"/>
          <w:szCs w:val="32"/>
        </w:rPr>
        <w:t>让我们更加紧密地团结在以习近平同志为核心的党中央周围，</w:t>
      </w:r>
      <w:r>
        <w:rPr>
          <w:rFonts w:hint="eastAsia" w:ascii="仿宋_GB2312" w:hAnsi="仿宋_GB2312" w:eastAsia="仿宋_GB2312" w:cs="仿宋_GB2312"/>
          <w:color w:val="auto"/>
          <w:sz w:val="32"/>
          <w:szCs w:val="32"/>
          <w:lang w:eastAsia="zh-CN"/>
        </w:rPr>
        <w:t>忠诚</w:t>
      </w:r>
      <w:r>
        <w:rPr>
          <w:rFonts w:hint="eastAsia" w:ascii="仿宋_GB2312" w:hAnsi="仿宋_GB2312" w:eastAsia="仿宋_GB2312" w:cs="仿宋_GB2312"/>
          <w:color w:val="auto"/>
          <w:sz w:val="32"/>
          <w:szCs w:val="32"/>
        </w:rPr>
        <w:t>拥护“两个确立”</w:t>
      </w:r>
      <w:r>
        <w:rPr>
          <w:rFonts w:hint="eastAsia" w:ascii="仿宋_GB2312" w:hAnsi="仿宋_GB2312" w:eastAsia="仿宋_GB2312" w:cs="仿宋_GB2312"/>
          <w:color w:val="auto"/>
          <w:sz w:val="32"/>
          <w:szCs w:val="32"/>
          <w:lang w:eastAsia="zh-CN"/>
        </w:rPr>
        <w:t>，坚决</w:t>
      </w:r>
      <w:r>
        <w:rPr>
          <w:rFonts w:hint="eastAsia" w:ascii="仿宋_GB2312" w:hAnsi="仿宋_GB2312" w:eastAsia="仿宋_GB2312" w:cs="仿宋_GB2312"/>
          <w:color w:val="auto"/>
          <w:sz w:val="32"/>
          <w:szCs w:val="32"/>
        </w:rPr>
        <w:t>做到“两个维护”，在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委的坚强领导下，坚定信心、锐意进取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担当作为、真抓实干，</w:t>
      </w:r>
      <w:r>
        <w:rPr>
          <w:rFonts w:hint="eastAsia" w:ascii="仿宋_GB2312" w:hAnsi="仿宋_GB2312" w:eastAsia="仿宋_GB2312" w:cs="仿宋_GB2312"/>
          <w:color w:val="auto"/>
          <w:sz w:val="32"/>
          <w:szCs w:val="32"/>
          <w:lang w:eastAsia="zh-CN"/>
        </w:rPr>
        <w:t>以更加昂扬的斗志、更加强烈的责任、更加务实的作风，圆满完成年度目标任务</w:t>
      </w:r>
      <w:r>
        <w:rPr>
          <w:rFonts w:hint="eastAsia" w:ascii="仿宋_GB2312" w:hAnsi="仿宋_GB2312" w:eastAsia="仿宋_GB2312" w:cs="仿宋_GB2312"/>
          <w:color w:val="auto"/>
          <w:sz w:val="32"/>
          <w:szCs w:val="32"/>
          <w:lang w:val="en-US" w:eastAsia="zh-CN"/>
        </w:rPr>
        <w:t>！</w:t>
      </w:r>
    </w:p>
    <w:p w14:paraId="0900FE37">
      <w:pPr>
        <w:pStyle w:val="2"/>
        <w:rPr>
          <w:rFonts w:hint="eastAsia"/>
          <w:color w:val="auto"/>
        </w:rPr>
      </w:pPr>
    </w:p>
    <w:p w14:paraId="11849255">
      <w:pPr>
        <w:pStyle w:val="4"/>
        <w:rPr>
          <w:rFonts w:hint="eastAsia" w:ascii="仿宋_GB2312" w:hAnsi="仿宋_GB2312" w:eastAsia="仿宋_GB2312" w:cs="仿宋_GB2312"/>
          <w:color w:val="auto"/>
          <w:sz w:val="32"/>
          <w:szCs w:val="32"/>
        </w:rPr>
      </w:pPr>
    </w:p>
    <w:p w14:paraId="798DF7E3">
      <w:pPr>
        <w:pStyle w:val="4"/>
        <w:ind w:left="0" w:leftChars="0" w:firstLine="0" w:firstLineChars="0"/>
        <w:rPr>
          <w:rFonts w:hint="eastAsia" w:ascii="仿宋_GB2312" w:hAnsi="仿宋_GB2312" w:eastAsia="仿宋_GB2312" w:cs="仿宋_GB2312"/>
          <w:color w:val="auto"/>
          <w:sz w:val="32"/>
          <w:szCs w:val="32"/>
        </w:rPr>
      </w:pPr>
    </w:p>
    <w:p w14:paraId="4F4B42C4">
      <w:pPr>
        <w:pStyle w:val="4"/>
        <w:ind w:left="0" w:leftChars="0" w:firstLine="0" w:firstLineChars="0"/>
        <w:rPr>
          <w:rFonts w:hint="eastAsia" w:ascii="仿宋_GB2312" w:hAnsi="仿宋_GB2312" w:eastAsia="仿宋_GB2312" w:cs="仿宋_GB2312"/>
          <w:color w:val="auto"/>
          <w:sz w:val="32"/>
          <w:szCs w:val="32"/>
        </w:rPr>
      </w:pPr>
    </w:p>
    <w:p w14:paraId="639AD300">
      <w:pPr>
        <w:pStyle w:val="4"/>
        <w:ind w:left="0" w:leftChars="0" w:firstLine="0" w:firstLineChars="0"/>
        <w:rPr>
          <w:rFonts w:hint="eastAsia" w:ascii="仿宋_GB2312" w:hAnsi="仿宋_GB2312" w:eastAsia="仿宋_GB2312" w:cs="仿宋_GB2312"/>
          <w:color w:val="auto"/>
          <w:sz w:val="32"/>
          <w:szCs w:val="32"/>
        </w:rPr>
      </w:pPr>
    </w:p>
    <w:p w14:paraId="37CF21C9">
      <w:pPr>
        <w:pStyle w:val="4"/>
        <w:ind w:left="0" w:leftChars="0" w:firstLine="0" w:firstLineChars="0"/>
        <w:rPr>
          <w:rFonts w:hint="eastAsia" w:ascii="仿宋_GB2312" w:hAnsi="仿宋_GB2312" w:eastAsia="仿宋_GB2312" w:cs="仿宋_GB2312"/>
          <w:color w:val="auto"/>
          <w:sz w:val="32"/>
          <w:szCs w:val="32"/>
        </w:rPr>
      </w:pPr>
    </w:p>
    <w:p w14:paraId="01D53B50">
      <w:pPr>
        <w:pStyle w:val="4"/>
        <w:ind w:left="0" w:leftChars="0" w:firstLine="0" w:firstLineChars="0"/>
        <w:rPr>
          <w:rFonts w:hint="eastAsia" w:ascii="仿宋_GB2312" w:hAnsi="仿宋_GB2312" w:eastAsia="仿宋_GB2312" w:cs="仿宋_GB2312"/>
          <w:color w:val="auto"/>
          <w:sz w:val="32"/>
          <w:szCs w:val="32"/>
        </w:rPr>
      </w:pPr>
    </w:p>
    <w:p w14:paraId="369E4026">
      <w:pPr>
        <w:pStyle w:val="4"/>
        <w:ind w:left="0" w:leftChars="0" w:firstLine="0" w:firstLineChars="0"/>
        <w:rPr>
          <w:rFonts w:hint="eastAsia" w:ascii="仿宋_GB2312" w:hAnsi="仿宋_GB2312" w:eastAsia="仿宋_GB2312" w:cs="仿宋_GB2312"/>
          <w:color w:val="auto"/>
          <w:sz w:val="32"/>
          <w:szCs w:val="32"/>
        </w:rPr>
      </w:pPr>
    </w:p>
    <w:p w14:paraId="16156DD1">
      <w:pPr>
        <w:pStyle w:val="4"/>
        <w:ind w:left="0" w:leftChars="0" w:firstLine="0" w:firstLineChars="0"/>
        <w:rPr>
          <w:rFonts w:hint="eastAsia" w:ascii="仿宋_GB2312" w:hAnsi="仿宋_GB2312" w:eastAsia="仿宋_GB2312" w:cs="仿宋_GB2312"/>
          <w:color w:val="auto"/>
          <w:sz w:val="32"/>
          <w:szCs w:val="32"/>
        </w:rPr>
      </w:pPr>
    </w:p>
    <w:p w14:paraId="0BFAFA38">
      <w:pPr>
        <w:pStyle w:val="4"/>
        <w:ind w:left="0" w:leftChars="0" w:firstLine="0" w:firstLineChars="0"/>
        <w:rPr>
          <w:rFonts w:hint="eastAsia" w:ascii="仿宋_GB2312" w:hAnsi="仿宋_GB2312" w:eastAsia="仿宋_GB2312" w:cs="仿宋_GB2312"/>
          <w:color w:val="auto"/>
          <w:sz w:val="32"/>
          <w:szCs w:val="32"/>
        </w:rPr>
      </w:pPr>
    </w:p>
    <w:p w14:paraId="68EE271B">
      <w:pPr>
        <w:keepNext w:val="0"/>
        <w:keepLines w:val="0"/>
        <w:pageBreakBefore w:val="0"/>
        <w:widowControl w:val="0"/>
        <w:kinsoku/>
        <w:wordWrap/>
        <w:overflowPunct/>
        <w:topLinePunct w:val="0"/>
        <w:autoSpaceDE/>
        <w:autoSpaceDN/>
        <w:bidi w:val="0"/>
        <w:adjustRightInd/>
        <w:snapToGrid/>
        <w:spacing w:before="157" w:beforeLines="50" w:after="0" w:line="320" w:lineRule="exact"/>
        <w:ind w:left="0" w:leftChars="0" w:right="0" w:rightChars="0" w:firstLine="0" w:firstLineChars="0"/>
        <w:jc w:val="both"/>
        <w:textAlignment w:val="auto"/>
        <w:outlineLvl w:val="9"/>
        <w:rPr>
          <w:rFonts w:hint="eastAsia" w:ascii="仿宋_GB2312" w:hAnsi="仿宋_GB2312" w:eastAsia="仿宋_GB2312" w:cs="仿宋_GB2312"/>
          <w:sz w:val="32"/>
        </w:rPr>
      </w:pPr>
    </w:p>
    <w:p w14:paraId="0B7BC82B">
      <w:pPr>
        <w:keepNext w:val="0"/>
        <w:keepLines w:val="0"/>
        <w:pageBreakBefore w:val="0"/>
        <w:widowControl w:val="0"/>
        <w:kinsoku/>
        <w:wordWrap/>
        <w:overflowPunct/>
        <w:topLinePunct w:val="0"/>
        <w:autoSpaceDE/>
        <w:autoSpaceDN/>
        <w:bidi w:val="0"/>
        <w:adjustRightInd/>
        <w:snapToGrid/>
        <w:spacing w:before="157" w:beforeLines="50" w:after="0" w:line="320" w:lineRule="exact"/>
        <w:ind w:left="0" w:leftChars="0" w:right="0" w:rightChars="0" w:firstLine="0" w:firstLineChars="0"/>
        <w:jc w:val="both"/>
        <w:textAlignment w:val="auto"/>
        <w:outlineLvl w:val="9"/>
        <w:rPr>
          <w:rFonts w:hint="eastAsia" w:ascii="仿宋_GB2312" w:hAnsi="仿宋_GB2312" w:eastAsia="仿宋_GB2312" w:cs="仿宋_GB2312"/>
          <w:sz w:val="32"/>
        </w:rPr>
      </w:pPr>
    </w:p>
    <w:p w14:paraId="442AEF46">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textAlignment w:val="auto"/>
        <w:outlineLvl w:val="9"/>
        <w:rPr>
          <w:rFonts w:hint="eastAsia"/>
          <w:color w:val="auto"/>
          <w:lang w:val="en-US" w:eastAsia="zh-CN"/>
        </w:rPr>
      </w:pPr>
    </w:p>
    <w:sectPr>
      <w:footerReference r:id="rId3" w:type="default"/>
      <w:pgSz w:w="11906" w:h="16838"/>
      <w:pgMar w:top="1531" w:right="1531" w:bottom="153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5AC2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548E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A548E5">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6F49F2"/>
    <w:rsid w:val="16FD4BE7"/>
    <w:rsid w:val="18EE2B22"/>
    <w:rsid w:val="335E0390"/>
    <w:rsid w:val="34360E17"/>
    <w:rsid w:val="37AF1051"/>
    <w:rsid w:val="3BEFE057"/>
    <w:rsid w:val="3E1E1FDA"/>
    <w:rsid w:val="4C6751CB"/>
    <w:rsid w:val="4C857073"/>
    <w:rsid w:val="4D1B4ACF"/>
    <w:rsid w:val="5C5878DB"/>
    <w:rsid w:val="6E6902AA"/>
    <w:rsid w:val="6F2A186E"/>
    <w:rsid w:val="72785063"/>
    <w:rsid w:val="75BD3DD2"/>
    <w:rsid w:val="7971723B"/>
    <w:rsid w:val="7A883A81"/>
    <w:rsid w:val="7C7EB2F1"/>
    <w:rsid w:val="7D7A71DC"/>
    <w:rsid w:val="9E62223E"/>
    <w:rsid w:val="DFE3C666"/>
    <w:rsid w:val="E3EE23FB"/>
    <w:rsid w:val="FF54F856"/>
    <w:rsid w:val="FFBD1F41"/>
    <w:rsid w:val="FFFEC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99"/>
    <w:pPr>
      <w:ind w:firstLine="640" w:firstLineChars="200"/>
    </w:pPr>
  </w:style>
  <w:style w:type="paragraph" w:styleId="3">
    <w:name w:val="Body Text"/>
    <w:basedOn w:val="1"/>
    <w:next w:val="1"/>
    <w:qFormat/>
    <w:uiPriority w:val="99"/>
    <w:pPr>
      <w:widowControl w:val="0"/>
      <w:jc w:val="both"/>
    </w:pPr>
    <w:rPr>
      <w:rFonts w:ascii="Calibri" w:hAnsi="Calibri" w:eastAsia="CESI仿宋-GB2312" w:cs="Times New Roman"/>
      <w:kern w:val="2"/>
      <w:sz w:val="32"/>
      <w:szCs w:val="24"/>
      <w:lang w:val="en-US" w:eastAsia="zh-CN" w:bidi="ar-SA"/>
    </w:rPr>
  </w:style>
  <w:style w:type="paragraph" w:styleId="4">
    <w:name w:val="Body Text Indent 2"/>
    <w:basedOn w:val="1"/>
    <w:qFormat/>
    <w:uiPriority w:val="99"/>
    <w:pPr>
      <w:spacing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jc w:val="left"/>
    </w:pPr>
    <w:rPr>
      <w:rFonts w:ascii="宋体" w:hAnsi="宋体" w:cs="宋体"/>
      <w:kern w:val="0"/>
      <w:sz w:val="24"/>
      <w:szCs w:val="24"/>
    </w:rPr>
  </w:style>
  <w:style w:type="paragraph" w:styleId="9">
    <w:name w:val="Body Text First Indent 2"/>
    <w:basedOn w:val="2"/>
    <w:next w:val="1"/>
    <w:qFormat/>
    <w:uiPriority w:val="0"/>
    <w:pPr>
      <w:ind w:firstLine="420"/>
    </w:pPr>
    <w:rPr>
      <w:rFonts w:ascii="Times New Roman" w:hAnsi="Times New Roman" w:eastAsia="宋体"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9510</Words>
  <Characters>10100</Characters>
  <Lines>0</Lines>
  <Paragraphs>0</Paragraphs>
  <TotalTime>18</TotalTime>
  <ScaleCrop>false</ScaleCrop>
  <LinksUpToDate>false</LinksUpToDate>
  <CharactersWithSpaces>10102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2024-12-14T18:45:00Z</dcterms:created>
  <dc:creator>Administrator</dc:creator>
  <cp:lastModifiedBy>舒峰</cp:lastModifiedBy>
  <dcterms:modified xsi:type="dcterms:W3CDTF">2025-03-28T08:36:20Z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60DBC086CBD74CAEA3DD6547352325E2_13</vt:lpwstr>
  </property>
  <property fmtid="{D5CDD505-2E9C-101B-9397-08002B2CF9AE}" pid="4" name="KSOTemplateDocerSaveRecord">
    <vt:lpwstr>eyJoZGlkIjoiMTQ5ODQ4OWI2ZWFlNmYwNTQ4MmQ5ZTgxNThjZDFmY2MiLCJ1c2VySWQiOiIzNzg5NzY2NjAifQ==</vt:lpwstr>
  </property>
</Properties>
</file>