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/>
        <w:ind w:left="0" w:leftChars="0" w:firstLine="0" w:firstLineChars="0"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  <w:r>
        <w:rPr>
          <w:rFonts w:hint="eastAsia" w:eastAsia="黑体"/>
          <w:sz w:val="32"/>
          <w:szCs w:val="32"/>
        </w:rPr>
        <w:t>：</w:t>
      </w:r>
    </w:p>
    <w:p>
      <w:pPr>
        <w:spacing w:before="120" w:beforeLines="50" w:line="4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市级预算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部门整体支出绩效自评表</w:t>
      </w:r>
    </w:p>
    <w:p>
      <w:pPr>
        <w:spacing w:line="400" w:lineRule="exact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年度）</w:t>
      </w:r>
    </w:p>
    <w:tbl>
      <w:tblPr>
        <w:tblStyle w:val="5"/>
        <w:tblW w:w="109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45"/>
        <w:gridCol w:w="1005"/>
        <w:gridCol w:w="915"/>
        <w:gridCol w:w="915"/>
        <w:gridCol w:w="1635"/>
        <w:gridCol w:w="1365"/>
        <w:gridCol w:w="825"/>
        <w:gridCol w:w="87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级预算部门</w:t>
            </w:r>
          </w:p>
        </w:tc>
        <w:tc>
          <w:tcPr>
            <w:tcW w:w="100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吉首市自然资源局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年度预算申请</w:t>
            </w:r>
          </w:p>
        </w:tc>
        <w:tc>
          <w:tcPr>
            <w:tcW w:w="19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率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3826.51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56925.08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56405.59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99.09%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按收入性质分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3826.51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6620.66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4821.5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政府性基金拨款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41778.09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41724.06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纳入专户管理的非税收入拨款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8526.33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9860.03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按支出性质分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3767.71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5539.33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5263.69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51385.32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51141.9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5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目标1：综合管理，全力维护国土资源和林区社会安全稳定。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目标2：强本固基，扎实推进自身建设，加强干部职工政治思想素质教育，改善职工工资福利，稳定自然资源队伍。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目标3：争资争项，大力开展地质灾害治理、城乡建设规划、营造林、生态扶贫、民生项目建设，快、好、省完成市委市政府交办的各项任务。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目标4：服务“三农”，驻村扶贫贴近民心，巩固精准扶贫成效。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目标5：依法开展矿山环境治理，有效保护自然资源。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目标6：盘活自然资源，提高自然资源利用效益。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1、完成全体干部职工、离退休人员工资津补贴发放和社会保障缴费4,483.98万元；维护职工队伍思想稳定；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2、合理安排，加强机关运行成本控制819.70万元，确保机关各项工作正常运转；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3、加强“三公”经费预算控制，降低机关成本，全年公务接待费和公车运行维护费15.27万元。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全年无重大事件集体越级上访事件，信访积案化解率100%，群众初访按期办结率达100%，息访率达100%。围绕综合治理和安全生产管理目标，积极主动深入群众，走访群众，了解群众，与各股室、基层站和二级机构签订了目标管理责任书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5、认真开展党的群众路线教育实践活动“回头看”，抓好整改落实，出台作风推进工作效能和工作绩效考核等相关内部管理办法，党务工作和作风建设上新台阶；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6、全市公益林、天然商品林、506名建档立卡生态脱贫护林员等民生资金及时发放到位。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7、积极查处各类行政案件，严格管理，严防地质灾害、森林火灾和森林病虫害，严抓 “野保”执法，加大“湿地”宣传和保护建设工作，实现立案率100%，破案率100%，全年无重大地质灾害、森林火灾和森林病虫害发生。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标（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50分）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量指标（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20分）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在职人员控制率≦100%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92.94%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“三公经费”变动率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≦0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-41.13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预算控制率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（剔除不可预见和行政性任务追加）预算控制率≤10%得满分；11-30%之间（含）扣0.3分；31-60%扣1分；在61-100%扣1.5分；大于100%不得分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新建楼堂馆所面积控制率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楼堂馆所面积控制率≤100%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新建楼堂馆所投资概算控制率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楼堂馆所投资概算控制率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≤100%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财务管理制度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</w:t>
            </w:r>
            <w:r>
              <w:rPr>
                <w:rStyle w:val="16"/>
                <w:rFonts w:eastAsia="仿宋_GB2312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有预算资金管理办法、内部财务管理制度、会计核算制度等管理制度记</w:t>
            </w:r>
            <w:r>
              <w:rPr>
                <w:rStyle w:val="16"/>
                <w:rFonts w:eastAsia="仿宋_GB231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分，每缺一项扣</w:t>
            </w:r>
            <w:r>
              <w:rPr>
                <w:rStyle w:val="16"/>
                <w:rFonts w:eastAsia="仿宋_GB2312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管理制度合法、合规、完整得</w:t>
            </w:r>
            <w:r>
              <w:rPr>
                <w:rStyle w:val="16"/>
                <w:rFonts w:eastAsia="仿宋_GB2312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分，否则记</w:t>
            </w:r>
            <w:r>
              <w:rPr>
                <w:rStyle w:val="16"/>
                <w:rFonts w:eastAsia="仿宋_GB2312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管理制度得到有效执行得</w:t>
            </w:r>
            <w:r>
              <w:rPr>
                <w:rStyle w:val="16"/>
                <w:rFonts w:eastAsia="仿宋_GB2312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分，否则记</w:t>
            </w:r>
            <w:r>
              <w:rPr>
                <w:rStyle w:val="16"/>
                <w:rFonts w:eastAsia="仿宋_GB2312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财务制度制度健全、合法、合规，实际管理中能有效执行。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结转结余率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年度结转结余率=0，每增加1%，扣1分，扣完为止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主要是四季度下达指标不能及时完成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指标变动≤0，每增加1%，扣1分，扣完为止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-80.68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项目执行率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≥90%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99.53%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量指标（20分）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绩效目标设置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绩效总体目标与部门职责、履职和年度绩效目标考核相符≥90%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总体目标与任务符合国家法律法规、国民经济和社会发展总体规划；目标设置没有脱离部门“三定”方案赋予的职责；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绩效指标细化率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整体绩效执行率≥90%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99.09%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部分预算资金四季度才下达，当年完成有一定难度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预算资金管理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资金间相互挤占、截留、挪用=0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公用经费经济科目存在相互挤占情况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年初预算不精细，执行过程费用控制有待加强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内部财务管理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财政审计、财经纪律检查巡查重大问题=0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与本部门履职和发展密切相关的重点事项年度办结≥</w:t>
            </w:r>
            <w:r>
              <w:rPr>
                <w:rStyle w:val="16"/>
                <w:rFonts w:eastAsia="仿宋_GB2312"/>
                <w:lang w:val="en-US" w:eastAsia="zh-CN" w:bidi="ar"/>
              </w:rPr>
              <w:t>95%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得满分，≥</w:t>
            </w:r>
            <w:r>
              <w:rPr>
                <w:rStyle w:val="16"/>
                <w:rFonts w:eastAsia="仿宋_GB2312"/>
                <w:lang w:val="en-US" w:eastAsia="zh-CN" w:bidi="ar"/>
              </w:rPr>
              <w:t>90%-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</w:t>
            </w:r>
            <w:r>
              <w:rPr>
                <w:rStyle w:val="16"/>
                <w:rFonts w:eastAsia="仿宋_GB2312"/>
                <w:lang w:val="en-US" w:eastAsia="zh-CN" w:bidi="ar"/>
              </w:rPr>
              <w:t>95%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</w:t>
            </w:r>
            <w:r>
              <w:rPr>
                <w:rStyle w:val="16"/>
                <w:rFonts w:eastAsia="仿宋_GB2312"/>
                <w:lang w:val="en-US" w:eastAsia="zh-CN" w:bidi="ar"/>
              </w:rPr>
              <w:t>0.5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分，≥</w:t>
            </w:r>
            <w:r>
              <w:rPr>
                <w:rStyle w:val="16"/>
                <w:rFonts w:eastAsia="仿宋_GB2312"/>
                <w:lang w:val="en-US" w:eastAsia="zh-CN" w:bidi="ar"/>
              </w:rPr>
              <w:t>80-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</w:t>
            </w:r>
            <w:r>
              <w:rPr>
                <w:rStyle w:val="16"/>
                <w:rFonts w:eastAsia="仿宋_GB2312"/>
                <w:lang w:val="en-US" w:eastAsia="zh-CN" w:bidi="ar"/>
              </w:rPr>
              <w:t>90%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</w:t>
            </w:r>
            <w:r>
              <w:rPr>
                <w:rStyle w:val="16"/>
                <w:rFonts w:eastAsia="仿宋_GB2312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分，＜</w:t>
            </w:r>
            <w:r>
              <w:rPr>
                <w:rStyle w:val="16"/>
                <w:rFonts w:eastAsia="仿宋_GB2312"/>
                <w:lang w:val="en-US" w:eastAsia="zh-CN" w:bidi="ar"/>
              </w:rPr>
              <w:t>80%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</w:t>
            </w:r>
            <w:r>
              <w:rPr>
                <w:rStyle w:val="16"/>
                <w:rFonts w:eastAsia="仿宋_GB2312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由于疫情和部分资金四季度才下达，造成有些项目延迟实施。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资金使用管理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资金使用合规性=100%，每违规1次扣2分，扣完为止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预决算信息公开情况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预决算信息100%按要求公开的得满分，按规定内容、时限各得1分，缺一项扣1分，扣完为止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基础信息管理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基础数据信息和会计信息资料</w:t>
            </w:r>
            <w:r>
              <w:rPr>
                <w:rStyle w:val="16"/>
                <w:rFonts w:eastAsia="仿宋_GB2312"/>
                <w:lang w:val="en-US" w:eastAsia="zh-CN" w:bidi="ar"/>
              </w:rPr>
              <w:t>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真实、完整、准确的得满分，否则不得分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资产保存完整、配置合理、处置规范、账实相、有偿使用及处置收入及时足额上缴得满分，缺一项扣</w:t>
            </w:r>
            <w:r>
              <w:rPr>
                <w:rStyle w:val="16"/>
                <w:rFonts w:eastAsia="仿宋_GB2312"/>
                <w:lang w:val="en-US" w:eastAsia="zh-CN" w:bidi="ar"/>
              </w:rPr>
              <w:t>0.5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分，扣完为止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资产日常管理有待加强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履职职责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完成年初既定目标≥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得满分，≥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部门预算政府采购符合政府采购法，每违规采购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分，扣完为止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效指标（6分）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支付进度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年初支付预算与实际支付进度进展情况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项目资金前三季度安排支付进度不理想，集中在第四季度支付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一是项目实施进度慢有待加强，二是资金指标集中在第四季度下达需要完善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工作及时率</w:t>
            </w:r>
            <w:bookmarkEnd w:id="0"/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时限内实际完成的工作任务数量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得满分，≥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实际完成工作数中达到部门绩效目标要求的工作任务数量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得满分，≥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本指标（4分）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“三公经费”控制率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“三公“经费控制率≤100%等满分，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38.35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公用经费控制率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公用经费控制率≤100%（剔除不可预计因素影响）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242.23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是上半年市土地交易管理所、市建设用地测绘队、市征地事务所3家自收自支单位转为事业全额管理公用经费支出并入增加各项费用151万元；二是三个工作专班和疫情防控相应增加公用经费支出；三是不动产文明服务窗口建设和红旗们分窗口建设添置设备、场所维护增加公用经费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标（30分）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效益指标（8分）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预算支出执行情况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预算执行总体支出与上年对比增长≥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得满分，每下降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分，扣完为止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59.05%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上年预算总支出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35,463.12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，本年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56,405.59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效益指标（8分）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执法办案结案率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执法结案率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得满分，每减少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分，扣完为止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自然灾害和森林防火无事故记满分，一般事故扣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分，较大事故以上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信访办结率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信访办结率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得满分，每减少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分，扣完为止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效益指标（8分）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林业有害生物成灾率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2.76%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得满分，每上升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分，扣完为止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2.76%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生态修复情况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矿山生态修复技术规范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记满分，每出现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项不按规范实施扣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分，扣完为止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自然资源开发利用与保护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符合自然资源开发利用的有效性原则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自然资源是人类生存之根，通过对自然资源的防灾减灾、生态修复，国土空间合理规划与建设，执法监督，自然资源才不会被消弱、退化和枯竭。人类生存环境得到不断优化，保持生态环境的和谐持续发展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度指标（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服务对象工作满意度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满意度≥95分得满分，≥90分＜95分扣1分，≥85分＜90分扣2分，＜85分记0分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部门内部员工工作满意度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before="120" w:beforeLines="50"/>
        <w:jc w:val="left"/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24"/>
        </w:rPr>
        <w:t>单位负责人签字：</w:t>
      </w:r>
      <w:r>
        <w:rPr>
          <w:rFonts w:hint="eastAsia" w:eastAsia="仿宋_GB2312"/>
          <w:sz w:val="24"/>
          <w:lang w:eastAsia="zh-CN"/>
        </w:rPr>
        <w:t>张自南</w:t>
      </w:r>
      <w:r>
        <w:rPr>
          <w:rFonts w:hint="eastAsia" w:eastAsia="仿宋_GB2312"/>
          <w:sz w:val="24"/>
          <w:lang w:val="en-US" w:eastAsia="zh-CN"/>
        </w:rPr>
        <w:t xml:space="preserve">  </w:t>
      </w:r>
      <w:r>
        <w:rPr>
          <w:rFonts w:eastAsia="仿宋_GB2312"/>
          <w:sz w:val="24"/>
        </w:rPr>
        <w:t>填表人</w:t>
      </w:r>
      <w:r>
        <w:rPr>
          <w:rFonts w:hint="eastAsia" w:eastAsia="仿宋_GB2312"/>
          <w:sz w:val="24"/>
          <w:lang w:eastAsia="zh-CN"/>
        </w:rPr>
        <w:t>：时玉金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eastAsia="仿宋_GB2312"/>
          <w:sz w:val="24"/>
        </w:rPr>
        <w:t>联系电话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0743-8511432 </w:t>
      </w:r>
      <w:r>
        <w:rPr>
          <w:rFonts w:eastAsia="仿宋_GB2312"/>
          <w:sz w:val="24"/>
        </w:rPr>
        <w:t>填报日期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2022</w:t>
      </w:r>
      <w:r>
        <w:rPr>
          <w:rFonts w:hint="eastAsia" w:eastAsia="仿宋_GB2312"/>
          <w:sz w:val="24"/>
        </w:rPr>
        <w:t>年</w:t>
      </w:r>
      <w:r>
        <w:rPr>
          <w:rFonts w:hint="eastAsia" w:eastAsia="仿宋_GB2312"/>
          <w:sz w:val="24"/>
          <w:lang w:val="en-US" w:eastAsia="zh-CN"/>
        </w:rPr>
        <w:t>6</w:t>
      </w:r>
      <w:r>
        <w:rPr>
          <w:rFonts w:hint="eastAsia" w:eastAsia="仿宋_GB2312"/>
          <w:sz w:val="24"/>
        </w:rPr>
        <w:t>月</w:t>
      </w:r>
      <w:r>
        <w:rPr>
          <w:rFonts w:hint="eastAsia" w:eastAsia="仿宋_GB2312"/>
          <w:sz w:val="24"/>
          <w:lang w:val="en-US" w:eastAsia="zh-CN"/>
        </w:rPr>
        <w:t>28</w:t>
      </w:r>
      <w:r>
        <w:rPr>
          <w:rFonts w:hint="eastAsia" w:eastAsia="仿宋_GB2312"/>
          <w:sz w:val="24"/>
        </w:rPr>
        <w:t>日</w:t>
      </w:r>
    </w:p>
    <w:sectPr>
      <w:pgSz w:w="11906" w:h="16838"/>
      <w:pgMar w:top="1003" w:right="383" w:bottom="833" w:left="3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2E3ZDAwN2RiZmYzM2I2YTQzMWU5YzQ0NGU2ZWUifQ=="/>
  </w:docVars>
  <w:rsids>
    <w:rsidRoot w:val="701179E8"/>
    <w:rsid w:val="12381531"/>
    <w:rsid w:val="141A5A43"/>
    <w:rsid w:val="16B77EE3"/>
    <w:rsid w:val="1A085D7B"/>
    <w:rsid w:val="29F10DEB"/>
    <w:rsid w:val="2C6162D0"/>
    <w:rsid w:val="32DA195F"/>
    <w:rsid w:val="37911D7B"/>
    <w:rsid w:val="38B22C65"/>
    <w:rsid w:val="39D22CEF"/>
    <w:rsid w:val="4071000B"/>
    <w:rsid w:val="44594C18"/>
    <w:rsid w:val="4D3E43FD"/>
    <w:rsid w:val="5BE7452B"/>
    <w:rsid w:val="60E04E65"/>
    <w:rsid w:val="61047A23"/>
    <w:rsid w:val="69386686"/>
    <w:rsid w:val="7011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71"/>
    <w:basedOn w:val="6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font3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3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6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2752</Words>
  <Characters>3221</Characters>
  <Lines>0</Lines>
  <Paragraphs>0</Paragraphs>
  <TotalTime>34</TotalTime>
  <ScaleCrop>false</ScaleCrop>
  <LinksUpToDate>false</LinksUpToDate>
  <CharactersWithSpaces>3248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2022-07-13T10:06:00Z</dcterms:created>
  <dc:creator>时玉金</dc:creator>
  <cp:lastModifiedBy>时玉金</cp:lastModifiedBy>
  <dcterms:modified xsi:type="dcterms:W3CDTF">2022-07-23T03:14:25Z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7A7DC4A86F9747429410D97FE98B0522</vt:lpwstr>
  </property>
</Properties>
</file>