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5A" w:rsidRDefault="001B455A">
      <w:pPr>
        <w:spacing w:line="600" w:lineRule="exact"/>
        <w:rPr>
          <w:rFonts w:eastAsia="黑体"/>
          <w:sz w:val="32"/>
          <w:szCs w:val="32"/>
        </w:rPr>
      </w:pPr>
    </w:p>
    <w:p w:rsidR="00FB64F2" w:rsidRDefault="00986FEA" w:rsidP="00FB64F2">
      <w:pPr>
        <w:jc w:val="center"/>
        <w:rPr>
          <w:rFonts w:ascii="微软雅黑" w:eastAsia="微软雅黑" w:hAnsi="微软雅黑" w:cs="方正小标宋简体"/>
          <w:sz w:val="48"/>
          <w:szCs w:val="48"/>
        </w:rPr>
      </w:pPr>
      <w:r w:rsidRPr="00EB1134">
        <w:rPr>
          <w:rFonts w:ascii="微软雅黑" w:eastAsia="微软雅黑" w:hAnsi="微软雅黑" w:cs="方正小标宋简体" w:hint="eastAsia"/>
          <w:sz w:val="48"/>
          <w:szCs w:val="48"/>
        </w:rPr>
        <w:t>吉首市</w:t>
      </w:r>
      <w:r w:rsidR="001C740A" w:rsidRPr="00EB1134">
        <w:rPr>
          <w:rFonts w:ascii="微软雅黑" w:eastAsia="微软雅黑" w:hAnsi="微软雅黑" w:cs="方正小标宋简体" w:hint="eastAsia"/>
          <w:sz w:val="48"/>
          <w:szCs w:val="48"/>
        </w:rPr>
        <w:t>城</w:t>
      </w:r>
      <w:r w:rsidR="00FB64F2">
        <w:rPr>
          <w:rFonts w:ascii="微软雅黑" w:eastAsia="微软雅黑" w:hAnsi="微软雅黑" w:cs="方正小标宋简体" w:hint="eastAsia"/>
          <w:sz w:val="48"/>
          <w:szCs w:val="48"/>
        </w:rPr>
        <w:t>乡</w:t>
      </w:r>
      <w:r w:rsidR="001C740A" w:rsidRPr="00EB1134">
        <w:rPr>
          <w:rFonts w:ascii="微软雅黑" w:eastAsia="微软雅黑" w:hAnsi="微软雅黑" w:cs="方正小标宋简体" w:hint="eastAsia"/>
          <w:sz w:val="48"/>
          <w:szCs w:val="48"/>
        </w:rPr>
        <w:t>规划</w:t>
      </w:r>
      <w:r w:rsidR="00FB64F2">
        <w:rPr>
          <w:rFonts w:ascii="微软雅黑" w:eastAsia="微软雅黑" w:hAnsi="微软雅黑" w:cs="方正小标宋简体" w:hint="eastAsia"/>
          <w:sz w:val="48"/>
          <w:szCs w:val="48"/>
        </w:rPr>
        <w:t>事务</w:t>
      </w:r>
      <w:r w:rsidR="001C740A" w:rsidRPr="00EB1134">
        <w:rPr>
          <w:rFonts w:ascii="微软雅黑" w:eastAsia="微软雅黑" w:hAnsi="微软雅黑" w:cs="方正小标宋简体" w:hint="eastAsia"/>
          <w:sz w:val="48"/>
          <w:szCs w:val="48"/>
        </w:rPr>
        <w:t>中心</w:t>
      </w:r>
    </w:p>
    <w:p w:rsidR="001B455A" w:rsidRPr="00EB1134" w:rsidRDefault="00EB1134" w:rsidP="00FB64F2">
      <w:pPr>
        <w:jc w:val="center"/>
        <w:rPr>
          <w:rFonts w:ascii="微软雅黑" w:eastAsia="微软雅黑" w:hAnsi="微软雅黑" w:cs="方正小标宋简体"/>
          <w:sz w:val="48"/>
          <w:szCs w:val="48"/>
        </w:rPr>
      </w:pPr>
      <w:r w:rsidRPr="00EB1134">
        <w:rPr>
          <w:rFonts w:ascii="微软雅黑" w:eastAsia="微软雅黑" w:hAnsi="微软雅黑" w:cs="方正小标宋简体" w:hint="eastAsia"/>
          <w:sz w:val="48"/>
          <w:szCs w:val="48"/>
        </w:rPr>
        <w:t>2024</w:t>
      </w:r>
      <w:r w:rsidR="00986FEA" w:rsidRPr="00EB1134">
        <w:rPr>
          <w:rFonts w:ascii="微软雅黑" w:eastAsia="微软雅黑" w:hAnsi="微软雅黑" w:cs="方正小标宋简体" w:hint="eastAsia"/>
          <w:sz w:val="48"/>
          <w:szCs w:val="48"/>
        </w:rPr>
        <w:t>年度部门整体支出绩效自评报告</w:t>
      </w:r>
    </w:p>
    <w:p w:rsidR="001B455A" w:rsidRDefault="001B455A">
      <w:pPr>
        <w:jc w:val="center"/>
        <w:rPr>
          <w:rFonts w:eastAsia="黑体"/>
          <w:sz w:val="32"/>
          <w:szCs w:val="32"/>
        </w:rPr>
      </w:pPr>
    </w:p>
    <w:p w:rsidR="001B455A" w:rsidRDefault="001B455A">
      <w:pPr>
        <w:jc w:val="center"/>
        <w:rPr>
          <w:rFonts w:eastAsia="黑体"/>
          <w:sz w:val="32"/>
          <w:szCs w:val="32"/>
        </w:rPr>
      </w:pPr>
    </w:p>
    <w:p w:rsidR="001B455A" w:rsidRDefault="001B455A">
      <w:pPr>
        <w:jc w:val="center"/>
        <w:rPr>
          <w:rFonts w:eastAsia="黑体"/>
          <w:sz w:val="32"/>
          <w:szCs w:val="32"/>
        </w:rPr>
      </w:pPr>
    </w:p>
    <w:p w:rsidR="001B455A" w:rsidRDefault="001B455A">
      <w:pPr>
        <w:jc w:val="center"/>
        <w:rPr>
          <w:rFonts w:eastAsia="黑体"/>
          <w:sz w:val="32"/>
          <w:szCs w:val="32"/>
        </w:rPr>
      </w:pPr>
    </w:p>
    <w:p w:rsidR="001B455A" w:rsidRDefault="001B455A">
      <w:pPr>
        <w:jc w:val="center"/>
        <w:rPr>
          <w:rFonts w:eastAsia="黑体"/>
          <w:sz w:val="32"/>
          <w:szCs w:val="32"/>
        </w:rPr>
      </w:pPr>
    </w:p>
    <w:p w:rsidR="001B455A" w:rsidRDefault="001B455A">
      <w:pPr>
        <w:jc w:val="center"/>
        <w:rPr>
          <w:rFonts w:eastAsia="黑体"/>
          <w:sz w:val="32"/>
          <w:szCs w:val="32"/>
        </w:rPr>
      </w:pPr>
    </w:p>
    <w:p w:rsidR="001B455A" w:rsidRDefault="001B455A">
      <w:pPr>
        <w:jc w:val="center"/>
        <w:rPr>
          <w:rFonts w:eastAsia="黑体"/>
          <w:sz w:val="44"/>
          <w:szCs w:val="44"/>
        </w:rPr>
      </w:pPr>
    </w:p>
    <w:p w:rsidR="001B455A" w:rsidRDefault="001B455A">
      <w:pPr>
        <w:spacing w:line="600" w:lineRule="exact"/>
        <w:ind w:firstLineChars="200" w:firstLine="880"/>
        <w:jc w:val="center"/>
        <w:rPr>
          <w:rFonts w:eastAsia="黑体"/>
          <w:sz w:val="44"/>
          <w:szCs w:val="44"/>
        </w:rPr>
      </w:pPr>
    </w:p>
    <w:p w:rsidR="001B455A" w:rsidRDefault="00986FEA">
      <w:pPr>
        <w:spacing w:line="600" w:lineRule="exact"/>
        <w:ind w:firstLineChars="600" w:firstLine="21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部门（</w:t>
      </w:r>
      <w:r>
        <w:rPr>
          <w:rFonts w:eastAsia="黑体"/>
          <w:sz w:val="36"/>
          <w:szCs w:val="36"/>
        </w:rPr>
        <w:t>单位</w:t>
      </w:r>
      <w:r>
        <w:rPr>
          <w:rFonts w:eastAsia="黑体" w:hint="eastAsia"/>
          <w:sz w:val="36"/>
          <w:szCs w:val="36"/>
        </w:rPr>
        <w:t>）</w:t>
      </w:r>
      <w:r>
        <w:rPr>
          <w:rFonts w:eastAsia="黑体"/>
          <w:sz w:val="36"/>
          <w:szCs w:val="36"/>
        </w:rPr>
        <w:t>名称（盖章）：</w:t>
      </w:r>
    </w:p>
    <w:p w:rsidR="001B455A" w:rsidRDefault="00986FEA">
      <w:pPr>
        <w:spacing w:line="600" w:lineRule="exact"/>
        <w:ind w:firstLineChars="600" w:firstLine="21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预算编码：</w:t>
      </w:r>
      <w:r>
        <w:rPr>
          <w:rFonts w:eastAsia="黑体" w:hint="eastAsia"/>
          <w:sz w:val="36"/>
          <w:szCs w:val="36"/>
        </w:rPr>
        <w:t>401002</w:t>
      </w:r>
    </w:p>
    <w:p w:rsidR="001B455A" w:rsidRDefault="001B455A">
      <w:pPr>
        <w:spacing w:line="600" w:lineRule="exact"/>
        <w:jc w:val="center"/>
        <w:rPr>
          <w:rFonts w:eastAsia="黑体"/>
          <w:sz w:val="36"/>
          <w:szCs w:val="36"/>
        </w:rPr>
      </w:pPr>
    </w:p>
    <w:p w:rsidR="001B455A" w:rsidRDefault="00986FEA">
      <w:pPr>
        <w:spacing w:line="600" w:lineRule="exact"/>
        <w:ind w:firstLineChars="656" w:firstLine="2099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评价方式：部门（单位）绩效自评</w:t>
      </w:r>
    </w:p>
    <w:p w:rsidR="001B455A" w:rsidRDefault="00986FEA">
      <w:pPr>
        <w:spacing w:line="600" w:lineRule="exact"/>
        <w:ind w:firstLineChars="656" w:firstLine="2099"/>
        <w:jc w:val="left"/>
        <w:rPr>
          <w:rFonts w:eastAsia="仿宋_GB2312" w:cs="Arial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评价机构：部门（单位）评价组</w:t>
      </w:r>
    </w:p>
    <w:p w:rsidR="001B455A" w:rsidRDefault="001B455A">
      <w:pPr>
        <w:ind w:firstLineChars="150" w:firstLine="420"/>
        <w:jc w:val="left"/>
        <w:rPr>
          <w:rFonts w:eastAsia="仿宋_GB2312" w:cs="Arial"/>
          <w:sz w:val="28"/>
          <w:szCs w:val="28"/>
        </w:rPr>
      </w:pPr>
    </w:p>
    <w:p w:rsidR="001B455A" w:rsidRDefault="001B455A">
      <w:pPr>
        <w:jc w:val="center"/>
        <w:rPr>
          <w:rFonts w:eastAsia="仿宋_GB2312" w:cs="Arial"/>
          <w:sz w:val="28"/>
          <w:szCs w:val="28"/>
        </w:rPr>
      </w:pPr>
    </w:p>
    <w:p w:rsidR="001B455A" w:rsidRDefault="001B455A">
      <w:pPr>
        <w:jc w:val="center"/>
        <w:rPr>
          <w:rFonts w:eastAsia="仿宋_GB2312" w:cs="Arial"/>
          <w:sz w:val="28"/>
          <w:szCs w:val="28"/>
        </w:rPr>
      </w:pPr>
    </w:p>
    <w:p w:rsidR="001B455A" w:rsidRDefault="001B455A">
      <w:pPr>
        <w:jc w:val="center"/>
        <w:rPr>
          <w:rFonts w:eastAsia="仿宋_GB2312" w:cs="Arial"/>
          <w:sz w:val="28"/>
          <w:szCs w:val="28"/>
        </w:rPr>
      </w:pPr>
    </w:p>
    <w:p w:rsidR="001B455A" w:rsidRDefault="001B455A">
      <w:pPr>
        <w:jc w:val="center"/>
        <w:rPr>
          <w:rFonts w:eastAsia="仿宋_GB2312" w:cs="Arial"/>
          <w:sz w:val="28"/>
          <w:szCs w:val="28"/>
        </w:rPr>
      </w:pPr>
    </w:p>
    <w:p w:rsidR="001B455A" w:rsidRDefault="001B455A">
      <w:pPr>
        <w:jc w:val="center"/>
        <w:rPr>
          <w:rFonts w:eastAsia="仿宋_GB2312" w:cs="Arial"/>
          <w:sz w:val="28"/>
          <w:szCs w:val="28"/>
        </w:rPr>
      </w:pPr>
    </w:p>
    <w:p w:rsidR="001B455A" w:rsidRDefault="00986FEA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报告时间：</w:t>
      </w:r>
      <w:r w:rsidR="00EB113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2025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EB1134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6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</w:p>
    <w:p w:rsidR="001B455A" w:rsidRDefault="001B455A">
      <w:pPr>
        <w:spacing w:line="540" w:lineRule="exact"/>
        <w:jc w:val="left"/>
        <w:rPr>
          <w:rFonts w:eastAsia="黑体" w:cs="Arial"/>
          <w:sz w:val="32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</w:pPr>
    </w:p>
    <w:p w:rsidR="001B455A" w:rsidRDefault="001B455A">
      <w:pPr>
        <w:spacing w:line="540" w:lineRule="exact"/>
        <w:jc w:val="left"/>
        <w:rPr>
          <w:rFonts w:eastAsia="黑体" w:cs="Arial"/>
          <w:sz w:val="32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986FEA">
      <w:pPr>
        <w:widowControl/>
        <w:spacing w:line="540" w:lineRule="exact"/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评价领导小组</w:t>
      </w:r>
    </w:p>
    <w:p w:rsidR="001B455A" w:rsidRDefault="00986FEA">
      <w:pPr>
        <w:widowControl/>
        <w:spacing w:line="540" w:lineRule="exact"/>
        <w:jc w:val="left"/>
        <w:rPr>
          <w:rFonts w:ascii="仿宋_GB2312" w:eastAsia="仿宋_GB2312" w:hAnsi="Arial" w:cs="Arial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组  长：</w:t>
      </w:r>
      <w:r w:rsidR="00FB64F2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胡　健</w:t>
      </w:r>
    </w:p>
    <w:p w:rsidR="001B455A" w:rsidRDefault="00986FEA">
      <w:pPr>
        <w:widowControl/>
        <w:spacing w:line="540" w:lineRule="exact"/>
        <w:jc w:val="left"/>
        <w:rPr>
          <w:rFonts w:ascii="仿宋_GB2312" w:eastAsia="仿宋_GB2312" w:hAnsi="Arial" w:cs="Arial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副组长：</w:t>
      </w:r>
      <w:r w:rsidR="008027D6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吴亚峰</w:t>
      </w:r>
    </w:p>
    <w:p w:rsidR="001B455A" w:rsidRDefault="00986FEA" w:rsidP="00986FEA">
      <w:pPr>
        <w:widowControl/>
        <w:spacing w:line="540" w:lineRule="exact"/>
        <w:ind w:left="1280" w:hangingChars="400" w:hanging="1280"/>
        <w:rPr>
          <w:rFonts w:ascii="仿宋_GB2312" w:eastAsia="仿宋_GB2312" w:hAnsi="Arial" w:cs="Arial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 xml:space="preserve">成  </w:t>
      </w:r>
      <w:r w:rsidR="00EC0BC6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员：</w:t>
      </w:r>
      <w:r w:rsidR="008C00CA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苏  妮、</w:t>
      </w:r>
      <w:r w:rsidR="00EB1134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唐鸿志、</w:t>
      </w:r>
      <w:r w:rsidR="00EC0BC6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陈胜平、罗兴忠、</w:t>
      </w:r>
      <w:r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方宇奇、闵本军、</w:t>
      </w:r>
      <w:r w:rsidR="00EB1134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田　军、</w:t>
      </w:r>
      <w:r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陈生斌、黄  巍</w:t>
      </w: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986FEA" w:rsidRDefault="00986FE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986FEA" w:rsidRDefault="00986FE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986FEA" w:rsidRDefault="00986FE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EC0BC6" w:rsidRDefault="00EC0BC6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986FEA" w:rsidRDefault="00986FE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986FEA" w:rsidRDefault="00986FE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p w:rsidR="001B455A" w:rsidRDefault="001B455A" w:rsidP="001C740A">
      <w:pPr>
        <w:pStyle w:val="a0"/>
        <w:ind w:firstLine="640"/>
        <w:rPr>
          <w:rFonts w:eastAsia="黑体" w:cs="Arial"/>
          <w:szCs w:val="32"/>
          <w:shd w:val="clear" w:color="auto" w:fill="FFFFFF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746"/>
        <w:gridCol w:w="403"/>
        <w:gridCol w:w="66"/>
        <w:gridCol w:w="360"/>
        <w:gridCol w:w="502"/>
        <w:gridCol w:w="632"/>
        <w:gridCol w:w="141"/>
        <w:gridCol w:w="546"/>
        <w:gridCol w:w="305"/>
        <w:gridCol w:w="142"/>
        <w:gridCol w:w="141"/>
        <w:gridCol w:w="481"/>
        <w:gridCol w:w="512"/>
        <w:gridCol w:w="141"/>
        <w:gridCol w:w="284"/>
        <w:gridCol w:w="709"/>
        <w:gridCol w:w="82"/>
        <w:gridCol w:w="59"/>
        <w:gridCol w:w="284"/>
        <w:gridCol w:w="709"/>
        <w:gridCol w:w="154"/>
        <w:gridCol w:w="129"/>
        <w:gridCol w:w="425"/>
        <w:gridCol w:w="709"/>
      </w:tblGrid>
      <w:tr w:rsidR="001B455A" w:rsidTr="00693538">
        <w:trPr>
          <w:trHeight w:val="551"/>
        </w:trPr>
        <w:tc>
          <w:tcPr>
            <w:tcW w:w="866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一、部门（单位）基本概况</w:t>
            </w:r>
          </w:p>
        </w:tc>
      </w:tr>
      <w:tr w:rsidR="00AE0B9A" w:rsidTr="00DC16AE">
        <w:trPr>
          <w:trHeight w:val="572"/>
        </w:trPr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6245C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黄巍</w:t>
            </w: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 w:rsidP="006245C1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0743-85</w:t>
            </w:r>
            <w:r w:rsidR="006245C1">
              <w:rPr>
                <w:rFonts w:hint="eastAsia"/>
                <w:color w:val="000000"/>
                <w:kern w:val="0"/>
                <w:sz w:val="20"/>
                <w:szCs w:val="20"/>
              </w:rPr>
              <w:t>20150</w:t>
            </w:r>
          </w:p>
        </w:tc>
      </w:tr>
      <w:tr w:rsidR="00AE0B9A" w:rsidTr="00DC16AE">
        <w:trPr>
          <w:trHeight w:val="552"/>
        </w:trPr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人员编制</w:t>
            </w:r>
          </w:p>
        </w:tc>
        <w:tc>
          <w:tcPr>
            <w:tcW w:w="3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6245C1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  <w:r w:rsidR="00EB1134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实有人数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EB113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AE0B9A" w:rsidTr="00DC16AE">
        <w:trPr>
          <w:trHeight w:val="1268"/>
        </w:trPr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职能职责概述</w:t>
            </w:r>
          </w:p>
        </w:tc>
        <w:tc>
          <w:tcPr>
            <w:tcW w:w="744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5A" w:rsidRPr="001056FB" w:rsidRDefault="006245C1" w:rsidP="006245C1">
            <w:pPr>
              <w:spacing w:after="2"/>
              <w:rPr>
                <w:rFonts w:ascii="仿宋_GB2312" w:eastAsia="仿宋_GB2312"/>
                <w:color w:val="000000"/>
                <w:sz w:val="20"/>
                <w:szCs w:val="20"/>
              </w:rPr>
            </w:pPr>
            <w:r w:rsidRPr="001056FB">
              <w:rPr>
                <w:rFonts w:ascii="仿宋_GB2312" w:eastAsia="仿宋_GB2312" w:hAnsi="宋体" w:hint="eastAsia"/>
                <w:color w:val="000000"/>
                <w:sz w:val="20"/>
                <w:szCs w:val="20"/>
              </w:rPr>
              <w:t>负责为各类建设项目提供信息技术、基础测绘等服务保障工作。承担审查公共建设项目、私人建设项目规划设计条件、建设用地许可、建设工程许可等事务性工作。承担审查市政工程建设项目建设工程许可等事务性工作。完成市自然资源局交办的其他工作任务。</w:t>
            </w:r>
          </w:p>
        </w:tc>
      </w:tr>
      <w:tr w:rsidR="00AE0B9A" w:rsidTr="009E0CD5">
        <w:trPr>
          <w:trHeight w:val="1804"/>
        </w:trPr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年度主要工作内容</w:t>
            </w:r>
          </w:p>
        </w:tc>
        <w:tc>
          <w:tcPr>
            <w:tcW w:w="744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5A" w:rsidRDefault="00986FEA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任务1：</w:t>
            </w:r>
            <w:r w:rsidR="00D91AD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保障本单位</w:t>
            </w:r>
            <w:r w:rsidR="00EB1134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2024</w:t>
            </w:r>
            <w:r w:rsidR="002021C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年</w:t>
            </w:r>
            <w:r w:rsidR="00D91AD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日常工作正常有序的开展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B455A" w:rsidRDefault="00986FEA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任务2</w:t>
            </w:r>
            <w:r w:rsidR="00D91AD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：保障本单位职工</w:t>
            </w:r>
            <w:r w:rsidR="00EB1134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2024</w:t>
            </w:r>
            <w:r w:rsidR="002021C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年</w:t>
            </w:r>
            <w:r w:rsidR="00D91AD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人员经费及社保支出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B455A" w:rsidRDefault="00986FEA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任务3：</w:t>
            </w:r>
            <w:r w:rsidR="00D91AD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保障</w:t>
            </w:r>
            <w:r w:rsidR="00EB1134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2024</w:t>
            </w:r>
            <w:r w:rsidR="00D91AD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年规划技术事务工作正常有序的开展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1B455A" w:rsidRDefault="00986FEA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任务4：</w:t>
            </w:r>
            <w:r w:rsidR="002021C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保障</w:t>
            </w:r>
            <w:r w:rsidR="00EB1134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2024</w:t>
            </w:r>
            <w:r w:rsidR="002021CE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年规划展览馆日常运行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7704E3" w:rsidRPr="007704E3" w:rsidRDefault="007704E3" w:rsidP="007704E3">
            <w:pPr>
              <w:pStyle w:val="a0"/>
              <w:ind w:firstLineChars="0" w:firstLine="0"/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任务</w:t>
            </w:r>
            <w:r w:rsidR="00FE0A72"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：</w:t>
            </w:r>
            <w:r w:rsidR="00733FC5">
              <w:rPr>
                <w:rStyle w:val="font61"/>
                <w:rFonts w:hAnsi="宋体" w:hint="default"/>
              </w:rPr>
              <w:t>保障</w:t>
            </w:r>
            <w:r w:rsidR="00EB1134">
              <w:rPr>
                <w:rStyle w:val="font61"/>
                <w:rFonts w:hAnsi="宋体" w:hint="default"/>
              </w:rPr>
              <w:t>2024</w:t>
            </w:r>
            <w:r w:rsidR="00733FC5" w:rsidRPr="00F4223B">
              <w:rPr>
                <w:rStyle w:val="font61"/>
                <w:rFonts w:hAnsi="宋体" w:hint="default"/>
              </w:rPr>
              <w:t>年各项规划调研、基础资料收集、技术服务等工作</w:t>
            </w:r>
            <w:r w:rsidR="00733FC5">
              <w:rPr>
                <w:rStyle w:val="font61"/>
                <w:rFonts w:hAnsi="宋体" w:hint="default"/>
              </w:rPr>
              <w:t>的开展</w:t>
            </w:r>
            <w:r>
              <w:rPr>
                <w:rStyle w:val="font61"/>
                <w:rFonts w:hAnsi="宋体" w:hint="default"/>
              </w:rPr>
              <w:t>。</w:t>
            </w:r>
          </w:p>
          <w:p w:rsidR="00D91AD3" w:rsidRPr="002021CE" w:rsidRDefault="00986FEA" w:rsidP="002021CE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任务</w:t>
            </w:r>
            <w:r w:rsidR="00FE0A72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：</w:t>
            </w:r>
            <w:r w:rsidR="002021CE" w:rsidRPr="006245C1">
              <w:rPr>
                <w:rFonts w:ascii="仿宋_GB2312" w:eastAsia="仿宋_GB2312" w:hAnsi="宋体" w:hint="eastAsia"/>
                <w:color w:val="000000"/>
                <w:sz w:val="20"/>
                <w:szCs w:val="20"/>
              </w:rPr>
              <w:t>完成市自然资源局交办的其他工作任务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AE0B9A" w:rsidTr="005461BA">
        <w:trPr>
          <w:trHeight w:val="8245"/>
        </w:trPr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年度部门（单位）总体运行情况及取得的成绩</w:t>
            </w:r>
          </w:p>
        </w:tc>
        <w:tc>
          <w:tcPr>
            <w:tcW w:w="744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5A" w:rsidRPr="000F5F11" w:rsidRDefault="000F5F11" w:rsidP="000F5F11">
            <w:pPr>
              <w:widowControl/>
              <w:jc w:val="left"/>
              <w:textAlignment w:val="top"/>
              <w:rPr>
                <w:rStyle w:val="font61"/>
                <w:rFonts w:hAnsi="宋体" w:hint="default"/>
              </w:rPr>
            </w:pPr>
            <w:r>
              <w:rPr>
                <w:rStyle w:val="font61"/>
                <w:rFonts w:hAnsi="宋体" w:hint="default"/>
              </w:rPr>
              <w:t>1</w:t>
            </w:r>
            <w:r w:rsidRPr="000F5F11">
              <w:rPr>
                <w:rStyle w:val="font61"/>
                <w:rFonts w:hAnsi="宋体" w:hint="default"/>
              </w:rPr>
              <w:t>.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为了确保项目规划许可的科学性和合理性，依据《中华人民共和国城乡规划法》的相关规定，我中心构建了重大项目的专家评审机制，并建立相应的专家库。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2024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年度，共组织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21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次项目专家评审会议，广泛汇聚各方智慧，充分发挥专家优势，为项目建设提供有力支撑，确保规划的科学性和前瞻性，以推动城乡建设高质量发展。</w:t>
            </w:r>
            <w:r w:rsidR="00EB1134" w:rsidRPr="00EB1134">
              <w:rPr>
                <w:rFonts w:eastAsia="仿宋_GB2312" w:cs="仿宋_GB2312" w:hint="eastAsia"/>
                <w:sz w:val="20"/>
                <w:szCs w:val="20"/>
              </w:rPr>
              <w:t>截止到</w:t>
            </w:r>
            <w:r w:rsidR="00EB1134" w:rsidRPr="00EB1134">
              <w:rPr>
                <w:rFonts w:eastAsia="仿宋_GB2312" w:cs="仿宋_GB2312" w:hint="eastAsia"/>
                <w:sz w:val="20"/>
                <w:szCs w:val="20"/>
              </w:rPr>
              <w:t>12</w:t>
            </w:r>
            <w:r w:rsidR="00EB1134" w:rsidRPr="00EB1134">
              <w:rPr>
                <w:rFonts w:eastAsia="仿宋_GB2312" w:cs="仿宋_GB2312" w:hint="eastAsia"/>
                <w:sz w:val="20"/>
                <w:szCs w:val="20"/>
              </w:rPr>
              <w:t>月底，共审查核发建设项目用地规划许可证</w:t>
            </w:r>
            <w:r w:rsidR="00EB1134" w:rsidRPr="00EB1134">
              <w:rPr>
                <w:rFonts w:eastAsia="仿宋_GB2312" w:cs="仿宋_GB2312" w:hint="eastAsia"/>
                <w:sz w:val="20"/>
                <w:szCs w:val="20"/>
              </w:rPr>
              <w:t>19</w:t>
            </w:r>
            <w:r w:rsidR="00EB1134" w:rsidRPr="00EB1134">
              <w:rPr>
                <w:rFonts w:eastAsia="仿宋_GB2312" w:cs="仿宋_GB2312" w:hint="eastAsia"/>
                <w:sz w:val="20"/>
                <w:szCs w:val="20"/>
              </w:rPr>
              <w:t>件，总用地面积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287450.56</w:t>
            </w:r>
            <w:r w:rsidR="00EB1134" w:rsidRPr="00EB1134">
              <w:rPr>
                <w:rFonts w:cs="宋体" w:hint="eastAsia"/>
                <w:color w:val="000000"/>
                <w:sz w:val="20"/>
                <w:szCs w:val="20"/>
              </w:rPr>
              <w:t>㎡。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其中公建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9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件，总用地面积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286735.58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㎡；私建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10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件，总用地面积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714.98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㎡。审查核发建设工程规划许可证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124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件，总建筑面积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134312.83</w:t>
            </w:r>
            <w:r w:rsidR="00EB1134" w:rsidRPr="00EB1134">
              <w:rPr>
                <w:rFonts w:cs="宋体" w:hint="eastAsia"/>
                <w:color w:val="000000"/>
                <w:sz w:val="20"/>
                <w:szCs w:val="20"/>
              </w:rPr>
              <w:t>㎡。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其中公建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15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件，总建筑面积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101366.05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㎡；私建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100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件，总建筑面积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32946.78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㎡；市政项目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9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件</w:t>
            </w:r>
            <w:r w:rsidR="00EB1134" w:rsidRPr="00EB1134">
              <w:rPr>
                <w:rFonts w:eastAsia="仿宋_GB2312" w:cs="仿宋_GB2312" w:hint="eastAsia"/>
                <w:sz w:val="20"/>
                <w:szCs w:val="20"/>
              </w:rPr>
              <w:t>。出具</w:t>
            </w:r>
            <w:r w:rsidR="00EB1134" w:rsidRPr="00EB1134">
              <w:rPr>
                <w:rFonts w:eastAsia="仿宋_GB2312" w:cs="仿宋_GB2312" w:hint="eastAsia"/>
                <w:sz w:val="20"/>
                <w:szCs w:val="20"/>
              </w:rPr>
              <w:t>44</w:t>
            </w:r>
            <w:r w:rsidR="00EB1134" w:rsidRPr="00EB1134">
              <w:rPr>
                <w:rFonts w:eastAsia="仿宋_GB2312" w:cs="仿宋_GB2312" w:hint="eastAsia"/>
                <w:sz w:val="20"/>
                <w:szCs w:val="20"/>
              </w:rPr>
              <w:t>宗建设用地规划条件。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为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125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个项目提供指标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4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核服务，道路上线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41</w:t>
            </w:r>
            <w:r w:rsidR="00EB1134"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次，</w:t>
            </w:r>
            <w:r w:rsidR="00EB1134" w:rsidRPr="00EB1134">
              <w:rPr>
                <w:rFonts w:eastAsia="仿宋_GB2312" w:cs="仿宋_GB2312" w:hint="eastAsia"/>
                <w:sz w:val="20"/>
                <w:szCs w:val="20"/>
              </w:rPr>
              <w:t>共整理收存各类档案</w:t>
            </w:r>
            <w:r w:rsidR="00EB1134" w:rsidRPr="00EB1134">
              <w:rPr>
                <w:rFonts w:eastAsia="仿宋_GB2312" w:cs="仿宋_GB2312" w:hint="eastAsia"/>
                <w:sz w:val="20"/>
                <w:szCs w:val="20"/>
              </w:rPr>
              <w:t>3553</w:t>
            </w:r>
            <w:r w:rsidR="00EB1134" w:rsidRPr="00EB1134">
              <w:rPr>
                <w:rFonts w:eastAsia="仿宋_GB2312" w:cs="仿宋_GB2312" w:hint="eastAsia"/>
                <w:sz w:val="20"/>
                <w:szCs w:val="20"/>
              </w:rPr>
              <w:t>盒，同步收存电子档案</w:t>
            </w:r>
            <w:r w:rsidR="00EB1134" w:rsidRPr="00EB1134">
              <w:rPr>
                <w:rFonts w:eastAsia="仿宋_GB2312" w:cs="仿宋_GB2312" w:hint="eastAsia"/>
                <w:sz w:val="20"/>
                <w:szCs w:val="20"/>
              </w:rPr>
              <w:t>145</w:t>
            </w:r>
            <w:r w:rsidR="00EB1134" w:rsidRPr="00EB1134">
              <w:rPr>
                <w:rFonts w:eastAsia="仿宋_GB2312" w:cs="仿宋_GB2312" w:hint="eastAsia"/>
                <w:sz w:val="20"/>
                <w:szCs w:val="20"/>
              </w:rPr>
              <w:t>份，并进行相应备份。接待档案查阅</w:t>
            </w:r>
            <w:r w:rsidR="00EB1134" w:rsidRPr="00EB1134">
              <w:rPr>
                <w:rFonts w:eastAsia="仿宋_GB2312" w:cs="仿宋_GB2312" w:hint="eastAsia"/>
                <w:sz w:val="20"/>
                <w:szCs w:val="20"/>
              </w:rPr>
              <w:t>142</w:t>
            </w:r>
            <w:r w:rsidR="006944AF">
              <w:rPr>
                <w:rFonts w:eastAsia="仿宋_GB2312" w:cs="仿宋_GB2312" w:hint="eastAsia"/>
                <w:sz w:val="20"/>
                <w:szCs w:val="20"/>
              </w:rPr>
              <w:t>次。</w:t>
            </w:r>
            <w:r w:rsidR="00EB1134" w:rsidRPr="00EB1134">
              <w:rPr>
                <w:rFonts w:eastAsia="仿宋_GB2312" w:cs="仿宋_GB2312" w:hint="eastAsia"/>
                <w:sz w:val="20"/>
                <w:szCs w:val="20"/>
              </w:rPr>
              <w:t>牵头起草《吉首市城市森林建筑（第四代建筑）建设的实施意见》，为第四代建筑项目规划审批提供依据，以响应国家节能减排政策，推动吉首市的绿色发展，提升城市的生态环境和居民的生活质量，</w:t>
            </w:r>
            <w:r w:rsidR="00EB1134" w:rsidRPr="00EB1134">
              <w:rPr>
                <w:rFonts w:eastAsia="仿宋_GB2312" w:cs="仿宋_GB2312" w:hint="eastAsia"/>
                <w:kern w:val="0"/>
                <w:sz w:val="20"/>
                <w:szCs w:val="20"/>
              </w:rPr>
              <w:t>激活房地产市场</w:t>
            </w:r>
            <w:r w:rsidR="006944AF">
              <w:rPr>
                <w:rFonts w:eastAsia="仿宋_GB2312" w:cs="仿宋_GB2312" w:hint="eastAsia"/>
                <w:sz w:val="20"/>
                <w:szCs w:val="20"/>
              </w:rPr>
              <w:t>，</w:t>
            </w:r>
            <w:r w:rsidR="00EB1134" w:rsidRPr="00EB1134">
              <w:rPr>
                <w:rFonts w:eastAsia="仿宋_GB2312" w:cs="仿宋_GB2312" w:hint="eastAsia"/>
                <w:sz w:val="20"/>
                <w:szCs w:val="20"/>
              </w:rPr>
              <w:t>负责起草《吉首市建筑工程违反城乡规划行为行政处罚暂行标准》，为</w:t>
            </w:r>
            <w:r w:rsidR="00EB1134" w:rsidRPr="00EB1134">
              <w:rPr>
                <w:rFonts w:eastAsia="仿宋_GB2312" w:cs="仿宋_GB2312" w:hint="eastAsia"/>
                <w:bCs/>
                <w:color w:val="000000"/>
                <w:sz w:val="20"/>
                <w:szCs w:val="20"/>
                <w:shd w:val="clear" w:color="auto" w:fill="FFFFFF"/>
              </w:rPr>
              <w:t>解决房地产领域历时遗留问题，规范本市城乡规划行政处罚裁量权提供依据，促进依法行政，保障公民、法人和其他组织的合法权益。</w:t>
            </w:r>
            <w:r w:rsidR="006944AF"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积极参与房地产领域突出信访问题化解。解决信访案件</w:t>
            </w:r>
            <w:r w:rsidR="006944AF"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29</w:t>
            </w:r>
            <w:r w:rsidR="006944AF"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起，配合其他部门现场踏勘</w:t>
            </w:r>
            <w:r w:rsidR="006944AF"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50</w:t>
            </w:r>
            <w:r w:rsidR="006944AF"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余次，为解决问题提供规划意见。共办理州、市市民热线诉求及各政府门户网站市民留言事项</w:t>
            </w:r>
            <w:r w:rsidR="006944AF"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18</w:t>
            </w:r>
            <w:r w:rsidR="006944AF"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件。负责起草了《吉首市建筑工程违反城乡规划行为行政处罚暂行标准》，为化解房地产领域突出信访问题提供依据。成立了国土空间规划委员会，建立了重大项目规划会审制度。</w:t>
            </w:r>
            <w:r w:rsidR="006944AF"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2024</w:t>
            </w:r>
            <w:r w:rsidR="006944AF"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年度，共承接吉首市国土空间规划委员会全会</w:t>
            </w:r>
            <w:r w:rsidR="006944AF"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3</w:t>
            </w:r>
            <w:r w:rsidR="006944AF"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次，市国土空间规划委员会专题会</w:t>
            </w:r>
            <w:r w:rsidR="006944AF"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17</w:t>
            </w:r>
            <w:r w:rsidR="006944AF"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次，共研究全市项目</w:t>
            </w:r>
            <w:r w:rsidR="006944AF"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51</w:t>
            </w:r>
            <w:r w:rsidR="006944AF"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个，有力确保规划工作的科学性、前瞻性和实用性</w:t>
            </w:r>
            <w:r w:rsidR="00E63BB3"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，为推动城市高质量发展奠定了坚实基础</w:t>
            </w:r>
            <w:r w:rsidR="006944AF"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。</w:t>
            </w:r>
            <w:r w:rsidR="006944AF" w:rsidRPr="006944AF">
              <w:rPr>
                <w:rFonts w:eastAsia="仿宋_GB2312" w:cs="仿宋_GB2312" w:hint="eastAsia"/>
                <w:sz w:val="20"/>
                <w:szCs w:val="20"/>
              </w:rPr>
              <w:t>圆满</w:t>
            </w:r>
            <w:r w:rsidR="006944AF" w:rsidRPr="006944AF">
              <w:rPr>
                <w:rFonts w:eastAsia="仿宋_GB2312" w:cs="仿宋_GB2312"/>
                <w:sz w:val="20"/>
                <w:szCs w:val="20"/>
              </w:rPr>
              <w:t>完成了《吉首市交通状况分析及改善研究报告》，并及时将成果提交给吉首市公安交警大队</w:t>
            </w:r>
            <w:r w:rsidR="006944AF" w:rsidRPr="006944AF">
              <w:rPr>
                <w:rFonts w:eastAsia="仿宋_GB2312" w:cs="仿宋_GB2312" w:hint="eastAsia"/>
                <w:sz w:val="20"/>
                <w:szCs w:val="20"/>
              </w:rPr>
              <w:t>。</w:t>
            </w:r>
          </w:p>
          <w:p w:rsidR="000F5F11" w:rsidRPr="000F5F11" w:rsidRDefault="0080629F" w:rsidP="000F5F11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Style w:val="font61"/>
                <w:rFonts w:hAnsi="宋体" w:hint="default"/>
              </w:rPr>
              <w:t>2.</w:t>
            </w:r>
            <w:r w:rsidR="000F5F11" w:rsidRPr="009777F4">
              <w:rPr>
                <w:rStyle w:val="font61"/>
                <w:rFonts w:hAnsi="宋体" w:hint="default"/>
                <w:color w:val="auto"/>
              </w:rPr>
              <w:t>全年完成本单位职工人员经费及社保支出</w:t>
            </w:r>
            <w:r w:rsidR="009777F4" w:rsidRPr="009777F4">
              <w:rPr>
                <w:rStyle w:val="font61"/>
                <w:rFonts w:hAnsi="宋体" w:hint="default"/>
                <w:color w:val="auto"/>
              </w:rPr>
              <w:t>758.54</w:t>
            </w:r>
            <w:r w:rsidR="000F5F11" w:rsidRPr="009777F4">
              <w:rPr>
                <w:rStyle w:val="font61"/>
                <w:rFonts w:hAnsi="宋体" w:hint="default"/>
                <w:color w:val="auto"/>
              </w:rPr>
              <w:t>万元</w:t>
            </w:r>
            <w:r w:rsidR="000F5F11" w:rsidRPr="000F5F11">
              <w:rPr>
                <w:rStyle w:val="font61"/>
                <w:rFonts w:hAnsi="宋体" w:hint="default"/>
              </w:rPr>
              <w:t>。</w:t>
            </w:r>
          </w:p>
          <w:p w:rsidR="001B455A" w:rsidRDefault="00986FEA">
            <w:pPr>
              <w:widowControl/>
              <w:jc w:val="left"/>
              <w:textAlignment w:val="top"/>
              <w:rPr>
                <w:rStyle w:val="font61"/>
                <w:rFonts w:hAnsi="宋体" w:hint="default"/>
              </w:rPr>
            </w:pPr>
            <w:r>
              <w:rPr>
                <w:rStyle w:val="font61"/>
                <w:rFonts w:hAnsi="宋体" w:hint="default"/>
              </w:rPr>
              <w:t>3.</w:t>
            </w:r>
            <w:r w:rsidR="00890D1B">
              <w:rPr>
                <w:rStyle w:val="font71"/>
                <w:rFonts w:eastAsia="仿宋_GB2312" w:hint="eastAsia"/>
              </w:rPr>
              <w:t>全年完成</w:t>
            </w:r>
            <w:r w:rsidR="00BF4C14">
              <w:rPr>
                <w:rStyle w:val="font61"/>
                <w:rFonts w:hAnsi="宋体" w:hint="default"/>
              </w:rPr>
              <w:t>日常工作正常有序的开展公用经费支出</w:t>
            </w:r>
            <w:r w:rsidR="009777F4">
              <w:rPr>
                <w:rStyle w:val="font61"/>
                <w:rFonts w:hAnsi="宋体" w:hint="default"/>
              </w:rPr>
              <w:t>68.01</w:t>
            </w:r>
            <w:r w:rsidR="00BF4C14">
              <w:rPr>
                <w:rStyle w:val="font61"/>
                <w:rFonts w:hAnsi="宋体" w:hint="default"/>
              </w:rPr>
              <w:t>万元。</w:t>
            </w:r>
          </w:p>
          <w:p w:rsidR="001B455A" w:rsidRDefault="00986FEA">
            <w:pPr>
              <w:widowControl/>
              <w:jc w:val="left"/>
              <w:textAlignment w:val="top"/>
              <w:rPr>
                <w:rStyle w:val="font61"/>
                <w:rFonts w:hAnsi="宋体" w:hint="default"/>
              </w:rPr>
            </w:pPr>
            <w:r>
              <w:rPr>
                <w:rStyle w:val="font61"/>
                <w:rFonts w:hAnsi="宋体" w:hint="default"/>
              </w:rPr>
              <w:t>4.</w:t>
            </w:r>
            <w:r w:rsidR="00F4223B">
              <w:rPr>
                <w:rStyle w:val="font61"/>
                <w:rFonts w:hAnsi="宋体" w:hint="default"/>
              </w:rPr>
              <w:t>完成了</w:t>
            </w:r>
            <w:r w:rsidR="00890D1B">
              <w:rPr>
                <w:rStyle w:val="font61"/>
                <w:rFonts w:hAnsi="宋体" w:hint="default"/>
              </w:rPr>
              <w:t>规划技术事务工作的开展</w:t>
            </w:r>
            <w:r w:rsidR="000F5F11">
              <w:rPr>
                <w:rStyle w:val="font61"/>
                <w:rFonts w:hAnsi="宋体" w:hint="default"/>
              </w:rPr>
              <w:t>支出</w:t>
            </w:r>
            <w:r w:rsidR="008C0D5A">
              <w:rPr>
                <w:rStyle w:val="font61"/>
                <w:rFonts w:hAnsi="宋体" w:hint="default"/>
              </w:rPr>
              <w:t>18.81</w:t>
            </w:r>
            <w:r w:rsidR="000F5F11">
              <w:rPr>
                <w:rStyle w:val="font61"/>
                <w:rFonts w:hAnsi="宋体" w:hint="default"/>
              </w:rPr>
              <w:t>万元</w:t>
            </w:r>
            <w:r w:rsidR="00890D1B">
              <w:rPr>
                <w:rStyle w:val="font61"/>
                <w:rFonts w:hAnsi="宋体" w:hint="default"/>
              </w:rPr>
              <w:t>。</w:t>
            </w:r>
          </w:p>
          <w:p w:rsidR="001B455A" w:rsidRDefault="00986FEA">
            <w:pPr>
              <w:widowControl/>
              <w:jc w:val="left"/>
              <w:textAlignment w:val="top"/>
              <w:rPr>
                <w:rStyle w:val="font61"/>
                <w:rFonts w:hAnsi="宋体" w:hint="default"/>
              </w:rPr>
            </w:pPr>
            <w:r>
              <w:rPr>
                <w:rStyle w:val="font61"/>
                <w:rFonts w:hAnsi="宋体" w:hint="default"/>
              </w:rPr>
              <w:t>5.</w:t>
            </w:r>
            <w:r w:rsidR="00890D1B">
              <w:rPr>
                <w:rStyle w:val="font61"/>
                <w:rFonts w:hAnsi="宋体" w:hint="default"/>
              </w:rPr>
              <w:t>完成了规划展览馆日常运行</w:t>
            </w:r>
            <w:r w:rsidR="000F5F11">
              <w:rPr>
                <w:rStyle w:val="font61"/>
                <w:rFonts w:hAnsi="宋体" w:hint="default"/>
              </w:rPr>
              <w:t>支出</w:t>
            </w:r>
            <w:r w:rsidR="008C0D5A">
              <w:rPr>
                <w:rStyle w:val="font61"/>
                <w:rFonts w:hAnsi="宋体" w:hint="default"/>
              </w:rPr>
              <w:t>65.72</w:t>
            </w:r>
            <w:r w:rsidR="000F5F11">
              <w:rPr>
                <w:rStyle w:val="font61"/>
                <w:rFonts w:hAnsi="宋体" w:hint="default"/>
              </w:rPr>
              <w:t>万元</w:t>
            </w:r>
            <w:r w:rsidR="00890D1B">
              <w:rPr>
                <w:rStyle w:val="font61"/>
                <w:rFonts w:hAnsi="宋体" w:hint="default"/>
              </w:rPr>
              <w:t>。</w:t>
            </w:r>
          </w:p>
          <w:p w:rsidR="00036B00" w:rsidRPr="00036B00" w:rsidRDefault="0080629F" w:rsidP="00036B00">
            <w:pPr>
              <w:pStyle w:val="a0"/>
              <w:ind w:firstLineChars="0" w:firstLine="0"/>
            </w:pPr>
            <w:r>
              <w:rPr>
                <w:rStyle w:val="font61"/>
                <w:rFonts w:hAnsi="宋体" w:hint="default"/>
              </w:rPr>
              <w:t>6.</w:t>
            </w:r>
            <w:r w:rsidR="00F4223B">
              <w:rPr>
                <w:rStyle w:val="font61"/>
                <w:rFonts w:hAnsi="宋体" w:hint="default"/>
              </w:rPr>
              <w:t>完成</w:t>
            </w:r>
            <w:r w:rsidR="00D87C1B">
              <w:rPr>
                <w:rStyle w:val="font61"/>
                <w:rFonts w:hAnsi="宋体" w:hint="default"/>
              </w:rPr>
              <w:t>2024</w:t>
            </w:r>
            <w:r w:rsidR="00F4223B" w:rsidRPr="00F4223B">
              <w:rPr>
                <w:rStyle w:val="font61"/>
                <w:rFonts w:hAnsi="宋体" w:hint="default"/>
              </w:rPr>
              <w:t>年各项规划调研、基础资料收集、技术服务等工作经费</w:t>
            </w:r>
            <w:r w:rsidR="00036B00">
              <w:rPr>
                <w:rStyle w:val="font61"/>
                <w:rFonts w:hAnsi="宋体" w:hint="default"/>
              </w:rPr>
              <w:t>支出</w:t>
            </w:r>
            <w:r w:rsidR="008C0D5A">
              <w:rPr>
                <w:rStyle w:val="font61"/>
                <w:rFonts w:hAnsi="宋体" w:hint="default"/>
              </w:rPr>
              <w:t>38.12</w:t>
            </w:r>
            <w:r w:rsidR="00036B00">
              <w:rPr>
                <w:rStyle w:val="font61"/>
                <w:rFonts w:hAnsi="宋体" w:hint="default"/>
              </w:rPr>
              <w:t>万元。</w:t>
            </w:r>
          </w:p>
          <w:p w:rsidR="000F5F11" w:rsidRDefault="00036B00" w:rsidP="00890D1B">
            <w:pPr>
              <w:rPr>
                <w:rStyle w:val="font71"/>
                <w:rFonts w:eastAsia="仿宋_GB2312"/>
              </w:rPr>
            </w:pPr>
            <w:r>
              <w:rPr>
                <w:rStyle w:val="font61"/>
                <w:rFonts w:hAnsi="宋体" w:hint="default"/>
              </w:rPr>
              <w:t>7</w:t>
            </w:r>
            <w:r w:rsidR="000F5F11">
              <w:rPr>
                <w:rStyle w:val="font61"/>
                <w:rFonts w:hAnsi="宋体" w:hint="default"/>
              </w:rPr>
              <w:t>.</w:t>
            </w:r>
            <w:r w:rsidR="008C0D5A" w:rsidRPr="008C0D5A">
              <w:rPr>
                <w:rFonts w:ascii="仿宋_GB2312" w:eastAsia="仿宋_GB2312" w:hint="eastAsia"/>
                <w:sz w:val="20"/>
                <w:szCs w:val="20"/>
              </w:rPr>
              <w:t>退回张顺才城市基础设施配套费</w:t>
            </w:r>
            <w:r w:rsidR="008C0D5A">
              <w:rPr>
                <w:rFonts w:ascii="仿宋_GB2312" w:eastAsia="仿宋_GB2312" w:hint="eastAsia"/>
                <w:sz w:val="20"/>
                <w:szCs w:val="20"/>
              </w:rPr>
              <w:t>5.78万元。</w:t>
            </w:r>
          </w:p>
          <w:p w:rsidR="00AF1E32" w:rsidRPr="008C0D5A" w:rsidRDefault="00AF1E32" w:rsidP="008C0D5A">
            <w:pPr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8.</w:t>
            </w:r>
            <w:r w:rsidR="008C0D5A">
              <w:rPr>
                <w:rStyle w:val="font71"/>
                <w:rFonts w:eastAsia="仿宋_GB2312" w:hint="eastAsia"/>
              </w:rPr>
              <w:t>按合同约定支付了</w:t>
            </w:r>
            <w:r w:rsidR="008C0D5A" w:rsidRPr="008C0D5A">
              <w:rPr>
                <w:rStyle w:val="font71"/>
                <w:rFonts w:eastAsia="仿宋_GB2312" w:hint="eastAsia"/>
              </w:rPr>
              <w:t>张吉怀铁路</w:t>
            </w:r>
            <w:r w:rsidR="008C0D5A">
              <w:rPr>
                <w:rStyle w:val="font71"/>
                <w:rFonts w:eastAsia="仿宋_GB2312" w:hint="eastAsia"/>
              </w:rPr>
              <w:t>吉首站综合交通枢纽设计服务费尾款</w:t>
            </w:r>
            <w:r w:rsidR="008C0D5A">
              <w:rPr>
                <w:rStyle w:val="font71"/>
                <w:rFonts w:ascii="仿宋_GB2312" w:eastAsia="仿宋_GB2312" w:hint="eastAsia"/>
              </w:rPr>
              <w:t>48</w:t>
            </w:r>
            <w:r w:rsidR="008C0D5A" w:rsidRPr="00AF1E32">
              <w:rPr>
                <w:rStyle w:val="font71"/>
                <w:rFonts w:ascii="仿宋_GB2312" w:eastAsia="仿宋_GB2312" w:hint="eastAsia"/>
              </w:rPr>
              <w:t>.00</w:t>
            </w:r>
            <w:r w:rsidR="008C0D5A">
              <w:rPr>
                <w:rStyle w:val="font71"/>
                <w:rFonts w:eastAsia="仿宋_GB2312" w:hint="eastAsia"/>
              </w:rPr>
              <w:t>万元。</w:t>
            </w:r>
          </w:p>
        </w:tc>
      </w:tr>
      <w:tr w:rsidR="001B455A" w:rsidTr="005461BA">
        <w:trPr>
          <w:trHeight w:val="549"/>
        </w:trPr>
        <w:tc>
          <w:tcPr>
            <w:tcW w:w="866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lastRenderedPageBreak/>
              <w:t>二、部门（单位）收支情况</w:t>
            </w:r>
          </w:p>
        </w:tc>
      </w:tr>
      <w:tr w:rsidR="001B455A" w:rsidTr="003A34F1">
        <w:trPr>
          <w:trHeight w:val="430"/>
        </w:trPr>
        <w:tc>
          <w:tcPr>
            <w:tcW w:w="866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年度收入情况（万元）</w:t>
            </w:r>
          </w:p>
        </w:tc>
      </w:tr>
      <w:tr w:rsidR="00AE0B9A" w:rsidTr="009E0CD5">
        <w:trPr>
          <w:trHeight w:val="600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收入合计</w:t>
            </w:r>
          </w:p>
        </w:tc>
        <w:tc>
          <w:tcPr>
            <w:tcW w:w="581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其中：</w:t>
            </w:r>
          </w:p>
        </w:tc>
      </w:tr>
      <w:tr w:rsidR="009E0CD5" w:rsidTr="009E0CD5">
        <w:trPr>
          <w:trHeight w:val="600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公共财政拨款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政府基金拨款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纳入专户管理的非税收入拨款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 w:rsidP="00AE0B9A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</w:tr>
      <w:tr w:rsidR="009E0CD5" w:rsidTr="009E0CD5">
        <w:trPr>
          <w:trHeight w:val="702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 w:rsidP="005461B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局机关及二级机构汇总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D5" w:rsidTr="005461BA">
        <w:trPr>
          <w:trHeight w:val="424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font61"/>
                <w:rFonts w:hint="default"/>
              </w:rPr>
              <w:t>、局机关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D5" w:rsidTr="005461BA">
        <w:trPr>
          <w:trHeight w:val="548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font61"/>
                <w:rFonts w:hint="default"/>
              </w:rPr>
              <w:t>、二级机构</w:t>
            </w:r>
            <w:r>
              <w:rPr>
                <w:rStyle w:val="font41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D87C1B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934.97</w:t>
            </w:r>
            <w:r w:rsidR="00986FE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 w:rsidP="009E0CD5">
            <w:pPr>
              <w:widowControl/>
              <w:ind w:right="200"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8C0D5A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758.50</w:t>
            </w:r>
            <w:r w:rsidR="00986FE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D87C1B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128.43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D87C1B"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48.04</w:t>
            </w:r>
            <w:r w:rsidR="00986FE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1B455A" w:rsidTr="00551486">
        <w:trPr>
          <w:trHeight w:val="543"/>
        </w:trPr>
        <w:tc>
          <w:tcPr>
            <w:tcW w:w="866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</w:rPr>
              <w:t>部门（单位）年度支出和结余情况（万元）</w:t>
            </w:r>
          </w:p>
        </w:tc>
      </w:tr>
      <w:tr w:rsidR="00FD6AC7" w:rsidTr="00FD6AC7">
        <w:trPr>
          <w:trHeight w:val="315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支出合计</w:t>
            </w:r>
          </w:p>
        </w:tc>
        <w:tc>
          <w:tcPr>
            <w:tcW w:w="45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其中：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结余</w:t>
            </w:r>
          </w:p>
        </w:tc>
      </w:tr>
      <w:tr w:rsidR="00FD6AC7" w:rsidTr="00FD6AC7">
        <w:trPr>
          <w:trHeight w:val="315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其中：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当年结余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累计结余</w:t>
            </w:r>
          </w:p>
        </w:tc>
      </w:tr>
      <w:tr w:rsidR="00FD6AC7" w:rsidTr="00FD6AC7">
        <w:trPr>
          <w:trHeight w:val="315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人员支出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公用支出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FD6AC7" w:rsidTr="005461BA">
        <w:trPr>
          <w:trHeight w:val="730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局机关及二级机构汇总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 w:rsidP="00036B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AC7" w:rsidTr="005461BA">
        <w:trPr>
          <w:trHeight w:val="425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font61"/>
                <w:rFonts w:hint="default"/>
              </w:rPr>
              <w:t>、局机关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 w:rsidP="00036B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6AC7" w:rsidTr="005461BA">
        <w:trPr>
          <w:trHeight w:val="489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font61"/>
                <w:rFonts w:hint="default"/>
              </w:rPr>
              <w:t>、二级机构</w:t>
            </w:r>
            <w:r>
              <w:rPr>
                <w:rStyle w:val="font4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D87C1B" w:rsidP="00036B00">
            <w:pPr>
              <w:widowControl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934.97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D87C1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758.54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D87C1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680.12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D87C1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78.42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D87C1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176.43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FD6AC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FD6AC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0.00</w:t>
            </w:r>
          </w:p>
        </w:tc>
      </w:tr>
      <w:tr w:rsidR="00551486" w:rsidTr="00551486">
        <w:trPr>
          <w:trHeight w:val="426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86" w:rsidRDefault="005514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86" w:rsidRDefault="005514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三公经费合计</w:t>
            </w:r>
          </w:p>
        </w:tc>
        <w:tc>
          <w:tcPr>
            <w:tcW w:w="59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86" w:rsidRDefault="005514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其中：</w:t>
            </w:r>
          </w:p>
        </w:tc>
      </w:tr>
      <w:tr w:rsidR="00551486" w:rsidTr="00232113">
        <w:trPr>
          <w:trHeight w:val="585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86" w:rsidRDefault="00551486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86" w:rsidRDefault="005514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86" w:rsidRDefault="005514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86" w:rsidRDefault="005514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86" w:rsidRDefault="005514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86" w:rsidRDefault="005514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因公出国（</w:t>
            </w:r>
            <w:r>
              <w:rPr>
                <w:rStyle w:val="font151"/>
                <w:rFonts w:hint="default"/>
              </w:rPr>
              <w:t>境）</w:t>
            </w:r>
            <w:r>
              <w:rPr>
                <w:rStyle w:val="font61"/>
                <w:rFonts w:hAnsi="宋体" w:hint="default"/>
              </w:rPr>
              <w:t>费用</w:t>
            </w:r>
          </w:p>
        </w:tc>
      </w:tr>
      <w:tr w:rsidR="00AE0B9A" w:rsidTr="00551486">
        <w:trPr>
          <w:trHeight w:val="660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局机关及二级机构汇总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0B9A" w:rsidTr="005461BA">
        <w:trPr>
          <w:trHeight w:val="549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font61"/>
                <w:rFonts w:hint="default"/>
              </w:rPr>
              <w:t>、局机关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455A" w:rsidRDefault="00551486" w:rsidP="00551486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0B9A" w:rsidTr="005461BA">
        <w:trPr>
          <w:trHeight w:val="555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font61"/>
                <w:rFonts w:hint="default"/>
              </w:rPr>
              <w:t>、二级机构</w:t>
            </w:r>
            <w:r>
              <w:rPr>
                <w:rStyle w:val="font4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733FC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</w:t>
            </w:r>
            <w:r w:rsidR="0055148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D87C1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D87C1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0.41</w:t>
            </w:r>
          </w:p>
        </w:tc>
      </w:tr>
      <w:tr w:rsidR="00551486" w:rsidTr="005461BA">
        <w:trPr>
          <w:trHeight w:val="422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86" w:rsidRDefault="005514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86" w:rsidRDefault="005514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固定资产</w:t>
            </w:r>
          </w:p>
          <w:p w:rsidR="00551486" w:rsidRDefault="00551486" w:rsidP="00232113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9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86" w:rsidRDefault="00551486" w:rsidP="001C740A">
            <w:pPr>
              <w:widowControl/>
              <w:ind w:firstLineChars="900" w:firstLine="1800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其中：</w:t>
            </w:r>
          </w:p>
        </w:tc>
      </w:tr>
      <w:tr w:rsidR="00551486" w:rsidTr="00551486">
        <w:trPr>
          <w:trHeight w:val="511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86" w:rsidRDefault="00551486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86" w:rsidRDefault="005514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86" w:rsidRDefault="005514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在用固定资产</w:t>
            </w:r>
          </w:p>
        </w:tc>
        <w:tc>
          <w:tcPr>
            <w:tcW w:w="29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86" w:rsidRDefault="005514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出租固定资产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486" w:rsidRDefault="005514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AE0B9A" w:rsidTr="005461BA">
        <w:trPr>
          <w:trHeight w:val="704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局机关及二级机构汇总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9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E0B9A" w:rsidTr="005461BA">
        <w:trPr>
          <w:trHeight w:val="558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Style w:val="font61"/>
                <w:rFonts w:hint="default"/>
              </w:rPr>
              <w:t>、局机关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29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AE0B9A" w:rsidTr="005461BA">
        <w:trPr>
          <w:trHeight w:val="517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Style w:val="font61"/>
                <w:rFonts w:hint="default"/>
              </w:rPr>
              <w:t>、二级机构</w:t>
            </w:r>
            <w:r>
              <w:rPr>
                <w:rStyle w:val="font4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551486" w:rsidP="00D87C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46</w:t>
            </w:r>
            <w:r w:rsidR="00D87C1B"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32.64</w:t>
            </w:r>
          </w:p>
        </w:tc>
        <w:tc>
          <w:tcPr>
            <w:tcW w:w="1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733FC5" w:rsidP="00D87C1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460</w:t>
            </w:r>
            <w:r w:rsidR="00D87C1B"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8.64</w:t>
            </w:r>
          </w:p>
        </w:tc>
        <w:tc>
          <w:tcPr>
            <w:tcW w:w="29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55148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1B455A" w:rsidTr="00551486">
        <w:trPr>
          <w:trHeight w:val="626"/>
        </w:trPr>
        <w:tc>
          <w:tcPr>
            <w:tcW w:w="866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lastRenderedPageBreak/>
              <w:t>三、部门（单位）整体支出绩效自评情况</w:t>
            </w:r>
          </w:p>
        </w:tc>
      </w:tr>
      <w:tr w:rsidR="00AE0B9A" w:rsidTr="005461BA">
        <w:trPr>
          <w:trHeight w:val="631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整体支出绩效定性目标及实施计划完成情况</w:t>
            </w:r>
          </w:p>
        </w:tc>
        <w:tc>
          <w:tcPr>
            <w:tcW w:w="37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41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实际完成</w:t>
            </w:r>
          </w:p>
        </w:tc>
      </w:tr>
      <w:tr w:rsidR="00AE0B9A" w:rsidTr="003A34F1">
        <w:trPr>
          <w:trHeight w:val="8348"/>
        </w:trPr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37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E3" w:rsidRPr="00A01FF1" w:rsidRDefault="007704E3" w:rsidP="007704E3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01FF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目标1：保障本单位</w:t>
            </w:r>
            <w:r w:rsidR="00FB64F2" w:rsidRPr="00A01FF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2024</w:t>
            </w:r>
            <w:r w:rsidRPr="00A01FF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年日常工作正常有序的开展。</w:t>
            </w:r>
          </w:p>
          <w:p w:rsidR="007704E3" w:rsidRPr="00A01FF1" w:rsidRDefault="007704E3" w:rsidP="007704E3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kern w:val="0"/>
                <w:sz w:val="20"/>
                <w:szCs w:val="20"/>
              </w:rPr>
            </w:pPr>
            <w:r w:rsidRPr="00A01FF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目标2：保障本单位职工</w:t>
            </w:r>
            <w:r w:rsidR="00FB64F2" w:rsidRPr="00A01FF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2024</w:t>
            </w:r>
            <w:r w:rsidRPr="00A01FF1"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</w:rPr>
              <w:t>年人员经费及社保支出。</w:t>
            </w:r>
          </w:p>
          <w:p w:rsidR="007704E3" w:rsidRDefault="007704E3" w:rsidP="007704E3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目标3：保障</w:t>
            </w:r>
            <w:r w:rsidR="00FB64F2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年规划技术事务工作正常有序的开展。</w:t>
            </w:r>
          </w:p>
          <w:p w:rsidR="007704E3" w:rsidRDefault="007704E3" w:rsidP="007704E3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目标4：保障</w:t>
            </w:r>
            <w:r w:rsidR="00FB64F2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年规划展览馆日常运行。</w:t>
            </w:r>
          </w:p>
          <w:p w:rsidR="007704E3" w:rsidRPr="007704E3" w:rsidRDefault="007704E3" w:rsidP="007704E3">
            <w:pPr>
              <w:pStyle w:val="a0"/>
              <w:ind w:firstLineChars="0" w:firstLine="0"/>
            </w:pP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目标</w:t>
            </w:r>
            <w:r w:rsidR="00FE0A72"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仿宋_GB2312" w:hAnsi="宋体" w:cs="仿宋_GB2312" w:hint="eastAsia"/>
                <w:color w:val="000000"/>
                <w:kern w:val="0"/>
                <w:sz w:val="20"/>
                <w:szCs w:val="20"/>
              </w:rPr>
              <w:t>：</w:t>
            </w:r>
            <w:r w:rsidR="0080629F">
              <w:rPr>
                <w:rStyle w:val="font61"/>
                <w:rFonts w:hAnsi="宋体" w:hint="default"/>
              </w:rPr>
              <w:t>保障</w:t>
            </w:r>
            <w:r w:rsidR="00FB64F2">
              <w:rPr>
                <w:rStyle w:val="font61"/>
                <w:rFonts w:hAnsi="宋体" w:hint="default"/>
              </w:rPr>
              <w:t>2024</w:t>
            </w:r>
            <w:r w:rsidR="0080629F" w:rsidRPr="00F4223B">
              <w:rPr>
                <w:rStyle w:val="font61"/>
                <w:rFonts w:hAnsi="宋体" w:hint="default"/>
              </w:rPr>
              <w:t>年各项规划调研、基础资料收集、技术服务等工作</w:t>
            </w:r>
            <w:r w:rsidR="0080629F">
              <w:rPr>
                <w:rStyle w:val="font61"/>
                <w:rFonts w:hAnsi="宋体" w:hint="default"/>
              </w:rPr>
              <w:t>的开展</w:t>
            </w:r>
            <w:r>
              <w:rPr>
                <w:rStyle w:val="font61"/>
                <w:rFonts w:hAnsi="宋体" w:hint="default"/>
              </w:rPr>
              <w:t>。</w:t>
            </w:r>
          </w:p>
          <w:p w:rsidR="001B455A" w:rsidRDefault="007704E3" w:rsidP="007704E3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目标</w:t>
            </w:r>
            <w:r w:rsidR="00FE0A72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：</w:t>
            </w:r>
            <w:r w:rsidRPr="006245C1">
              <w:rPr>
                <w:rFonts w:ascii="仿宋_GB2312" w:eastAsia="仿宋_GB2312" w:hAnsi="宋体" w:hint="eastAsia"/>
                <w:color w:val="000000"/>
                <w:sz w:val="20"/>
                <w:szCs w:val="20"/>
              </w:rPr>
              <w:t>完成市自然资源局交办的其他工作任务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41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1A6" w:rsidRPr="000F5F11" w:rsidRDefault="000E21A6" w:rsidP="000E21A6">
            <w:pPr>
              <w:widowControl/>
              <w:jc w:val="left"/>
              <w:textAlignment w:val="top"/>
              <w:rPr>
                <w:rStyle w:val="font61"/>
                <w:rFonts w:hAnsi="宋体" w:hint="default"/>
              </w:rPr>
            </w:pPr>
            <w:r>
              <w:rPr>
                <w:rStyle w:val="font61"/>
                <w:rFonts w:hAnsi="宋体" w:hint="default"/>
              </w:rPr>
              <w:t>1</w:t>
            </w:r>
            <w:r w:rsidRPr="000F5F11">
              <w:rPr>
                <w:rStyle w:val="font61"/>
                <w:rFonts w:hAnsi="宋体" w:hint="default"/>
              </w:rPr>
              <w:t>.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为了确保项目规划许可的科学性和合理性，依据《中华人民共和国城乡规划法》的相关规定，我中心构建了重大项目的专家评审机制，并建立相应的专家库。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2024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年度，共组织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21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次项目专家评审会议，广泛汇聚各方智慧，充分发挥专家优势，为项目建设提供有力支撑，确保规划的科学性和前瞻性，以推动城乡建设高质量发展。</w:t>
            </w:r>
            <w:r w:rsidRPr="00EB1134">
              <w:rPr>
                <w:rFonts w:eastAsia="仿宋_GB2312" w:cs="仿宋_GB2312" w:hint="eastAsia"/>
                <w:sz w:val="20"/>
                <w:szCs w:val="20"/>
              </w:rPr>
              <w:t>截止到</w:t>
            </w:r>
            <w:r w:rsidRPr="00EB1134">
              <w:rPr>
                <w:rFonts w:eastAsia="仿宋_GB2312" w:cs="仿宋_GB2312" w:hint="eastAsia"/>
                <w:sz w:val="20"/>
                <w:szCs w:val="20"/>
              </w:rPr>
              <w:t>12</w:t>
            </w:r>
            <w:r w:rsidRPr="00EB1134">
              <w:rPr>
                <w:rFonts w:eastAsia="仿宋_GB2312" w:cs="仿宋_GB2312" w:hint="eastAsia"/>
                <w:sz w:val="20"/>
                <w:szCs w:val="20"/>
              </w:rPr>
              <w:t>月底，共审查核发建设项目用地规划许可证</w:t>
            </w:r>
            <w:r w:rsidRPr="00EB1134">
              <w:rPr>
                <w:rFonts w:eastAsia="仿宋_GB2312" w:cs="仿宋_GB2312" w:hint="eastAsia"/>
                <w:sz w:val="20"/>
                <w:szCs w:val="20"/>
              </w:rPr>
              <w:t>19</w:t>
            </w:r>
            <w:r w:rsidRPr="00EB1134">
              <w:rPr>
                <w:rFonts w:eastAsia="仿宋_GB2312" w:cs="仿宋_GB2312" w:hint="eastAsia"/>
                <w:sz w:val="20"/>
                <w:szCs w:val="20"/>
              </w:rPr>
              <w:t>件，总用地面积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287450.56</w:t>
            </w:r>
            <w:r w:rsidRPr="00EB1134">
              <w:rPr>
                <w:rFonts w:cs="宋体" w:hint="eastAsia"/>
                <w:color w:val="000000"/>
                <w:sz w:val="20"/>
                <w:szCs w:val="20"/>
              </w:rPr>
              <w:t>㎡。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其中公建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9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件，总用地面积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286735.58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㎡；私建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10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件，总用地面积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714.98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㎡。审查核发建设工程规划许可证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124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件，总建筑面积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134312.83</w:t>
            </w:r>
            <w:r w:rsidRPr="00EB1134">
              <w:rPr>
                <w:rFonts w:cs="宋体" w:hint="eastAsia"/>
                <w:color w:val="000000"/>
                <w:sz w:val="20"/>
                <w:szCs w:val="20"/>
              </w:rPr>
              <w:t>㎡。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其中公建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15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件，总建筑面积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101366.05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㎡；私建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100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件，总建筑面积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32946.78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㎡；市政项目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9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件</w:t>
            </w:r>
            <w:r w:rsidRPr="00EB1134">
              <w:rPr>
                <w:rFonts w:eastAsia="仿宋_GB2312" w:cs="仿宋_GB2312" w:hint="eastAsia"/>
                <w:sz w:val="20"/>
                <w:szCs w:val="20"/>
              </w:rPr>
              <w:t>。出具</w:t>
            </w:r>
            <w:r w:rsidRPr="00EB1134">
              <w:rPr>
                <w:rFonts w:eastAsia="仿宋_GB2312" w:cs="仿宋_GB2312" w:hint="eastAsia"/>
                <w:sz w:val="20"/>
                <w:szCs w:val="20"/>
              </w:rPr>
              <w:t>44</w:t>
            </w:r>
            <w:r w:rsidRPr="00EB1134">
              <w:rPr>
                <w:rFonts w:eastAsia="仿宋_GB2312" w:cs="仿宋_GB2312" w:hint="eastAsia"/>
                <w:sz w:val="20"/>
                <w:szCs w:val="20"/>
              </w:rPr>
              <w:t>宗建设用地规划条件。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为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125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个项目提供指标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4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核服务，道路上线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41</w:t>
            </w:r>
            <w:r w:rsidRPr="00EB1134">
              <w:rPr>
                <w:rFonts w:eastAsia="仿宋_GB2312" w:cs="仿宋_GB2312" w:hint="eastAsia"/>
                <w:color w:val="000000"/>
                <w:sz w:val="20"/>
                <w:szCs w:val="20"/>
              </w:rPr>
              <w:t>次，</w:t>
            </w:r>
            <w:r w:rsidRPr="00EB1134">
              <w:rPr>
                <w:rFonts w:eastAsia="仿宋_GB2312" w:cs="仿宋_GB2312" w:hint="eastAsia"/>
                <w:sz w:val="20"/>
                <w:szCs w:val="20"/>
              </w:rPr>
              <w:t>共整理收存各类档案</w:t>
            </w:r>
            <w:r w:rsidRPr="00EB1134">
              <w:rPr>
                <w:rFonts w:eastAsia="仿宋_GB2312" w:cs="仿宋_GB2312" w:hint="eastAsia"/>
                <w:sz w:val="20"/>
                <w:szCs w:val="20"/>
              </w:rPr>
              <w:t>3553</w:t>
            </w:r>
            <w:r w:rsidRPr="00EB1134">
              <w:rPr>
                <w:rFonts w:eastAsia="仿宋_GB2312" w:cs="仿宋_GB2312" w:hint="eastAsia"/>
                <w:sz w:val="20"/>
                <w:szCs w:val="20"/>
              </w:rPr>
              <w:t>盒，同步收存电子档案</w:t>
            </w:r>
            <w:r w:rsidRPr="00EB1134">
              <w:rPr>
                <w:rFonts w:eastAsia="仿宋_GB2312" w:cs="仿宋_GB2312" w:hint="eastAsia"/>
                <w:sz w:val="20"/>
                <w:szCs w:val="20"/>
              </w:rPr>
              <w:t>145</w:t>
            </w:r>
            <w:r w:rsidRPr="00EB1134">
              <w:rPr>
                <w:rFonts w:eastAsia="仿宋_GB2312" w:cs="仿宋_GB2312" w:hint="eastAsia"/>
                <w:sz w:val="20"/>
                <w:szCs w:val="20"/>
              </w:rPr>
              <w:t>份，并进行相应备份。接待档案查阅</w:t>
            </w:r>
            <w:r w:rsidRPr="00EB1134">
              <w:rPr>
                <w:rFonts w:eastAsia="仿宋_GB2312" w:cs="仿宋_GB2312" w:hint="eastAsia"/>
                <w:sz w:val="20"/>
                <w:szCs w:val="20"/>
              </w:rPr>
              <w:t>142</w:t>
            </w:r>
            <w:r>
              <w:rPr>
                <w:rFonts w:eastAsia="仿宋_GB2312" w:cs="仿宋_GB2312" w:hint="eastAsia"/>
                <w:sz w:val="20"/>
                <w:szCs w:val="20"/>
              </w:rPr>
              <w:t>次。</w:t>
            </w:r>
            <w:r w:rsidRPr="00EB1134">
              <w:rPr>
                <w:rFonts w:eastAsia="仿宋_GB2312" w:cs="仿宋_GB2312" w:hint="eastAsia"/>
                <w:sz w:val="20"/>
                <w:szCs w:val="20"/>
              </w:rPr>
              <w:t>牵头起草《吉首市城市森林建筑（第四代建筑）建设的实施意见》，为第四代建筑项目规划审批提供依据，以响应国家节能减排政策，推动吉首市的绿色发展，提升城市的生态环境和居民的生活质量，</w:t>
            </w:r>
            <w:r w:rsidRPr="00EB1134">
              <w:rPr>
                <w:rFonts w:eastAsia="仿宋_GB2312" w:cs="仿宋_GB2312" w:hint="eastAsia"/>
                <w:kern w:val="0"/>
                <w:sz w:val="20"/>
                <w:szCs w:val="20"/>
              </w:rPr>
              <w:t>激活房地产市场</w:t>
            </w:r>
            <w:r>
              <w:rPr>
                <w:rFonts w:eastAsia="仿宋_GB2312" w:cs="仿宋_GB2312" w:hint="eastAsia"/>
                <w:sz w:val="20"/>
                <w:szCs w:val="20"/>
              </w:rPr>
              <w:t>，</w:t>
            </w:r>
            <w:r w:rsidRPr="00EB1134">
              <w:rPr>
                <w:rFonts w:eastAsia="仿宋_GB2312" w:cs="仿宋_GB2312" w:hint="eastAsia"/>
                <w:sz w:val="20"/>
                <w:szCs w:val="20"/>
              </w:rPr>
              <w:t>负责起草《吉首市建筑工程违反城乡规划行为行政处罚暂行标准》，为</w:t>
            </w:r>
            <w:r w:rsidRPr="00EB1134">
              <w:rPr>
                <w:rFonts w:eastAsia="仿宋_GB2312" w:cs="仿宋_GB2312" w:hint="eastAsia"/>
                <w:bCs/>
                <w:color w:val="000000"/>
                <w:sz w:val="20"/>
                <w:szCs w:val="20"/>
                <w:shd w:val="clear" w:color="auto" w:fill="FFFFFF"/>
              </w:rPr>
              <w:t>解决房地产领域历时遗留问题，规范本市城乡规划行政处罚裁量权提供依据，促进依法行政，保障公民、法人和其他组织的合法权益。</w:t>
            </w:r>
            <w:r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积极参与房地产领域突出信访问题化解。解决信访案件</w:t>
            </w:r>
            <w:r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29</w:t>
            </w:r>
            <w:r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起，配合其他部门现场踏勘</w:t>
            </w:r>
            <w:r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50</w:t>
            </w:r>
            <w:r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余次，为解决问题提供规划意见。共办理州、市市民热线诉求及各政府门户网站市民留言事项</w:t>
            </w:r>
            <w:r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18</w:t>
            </w:r>
            <w:r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件。负责起草了《吉首市建筑工程违反城乡规划行为行政处罚暂行标准》，为化解房地产领域突出信访问题提供依据。成立了国土空间规划委员会，建立了重大项目规划会审制度。</w:t>
            </w:r>
            <w:r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2024</w:t>
            </w:r>
            <w:r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年度，共承接吉首市国土空间规划委员会全会</w:t>
            </w:r>
            <w:r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3</w:t>
            </w:r>
            <w:r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次，市国土空间规划委员会专题会</w:t>
            </w:r>
            <w:r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17</w:t>
            </w:r>
            <w:r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次，共研究全市项目</w:t>
            </w:r>
            <w:r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51</w:t>
            </w:r>
            <w:r w:rsidRPr="006944AF">
              <w:rPr>
                <w:rFonts w:eastAsia="仿宋_GB2312" w:cs="仿宋_GB2312" w:hint="eastAsia"/>
                <w:color w:val="000000"/>
                <w:sz w:val="20"/>
                <w:szCs w:val="20"/>
              </w:rPr>
              <w:t>个，有力确保规划工作的科学性、前瞻性和实用性，为推动城市高质量发展奠定了坚实基础。</w:t>
            </w:r>
            <w:r w:rsidRPr="006944AF">
              <w:rPr>
                <w:rFonts w:eastAsia="仿宋_GB2312" w:cs="仿宋_GB2312" w:hint="eastAsia"/>
                <w:sz w:val="20"/>
                <w:szCs w:val="20"/>
              </w:rPr>
              <w:t>圆满</w:t>
            </w:r>
            <w:r w:rsidRPr="006944AF">
              <w:rPr>
                <w:rFonts w:eastAsia="仿宋_GB2312" w:cs="仿宋_GB2312"/>
                <w:sz w:val="20"/>
                <w:szCs w:val="20"/>
              </w:rPr>
              <w:t>完成了《吉首市交通状况分析及改善研究报告》，并及时将成果提交给吉首市公安交警大队</w:t>
            </w:r>
            <w:r w:rsidRPr="006944AF">
              <w:rPr>
                <w:rFonts w:eastAsia="仿宋_GB2312" w:cs="仿宋_GB2312" w:hint="eastAsia"/>
                <w:sz w:val="20"/>
                <w:szCs w:val="20"/>
              </w:rPr>
              <w:t>。</w:t>
            </w:r>
          </w:p>
          <w:p w:rsidR="000E21A6" w:rsidRPr="000F5F11" w:rsidRDefault="000E21A6" w:rsidP="000E21A6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Style w:val="font61"/>
                <w:rFonts w:hAnsi="宋体" w:hint="default"/>
              </w:rPr>
              <w:t>2.</w:t>
            </w:r>
            <w:r w:rsidRPr="009777F4">
              <w:rPr>
                <w:rStyle w:val="font61"/>
                <w:rFonts w:hAnsi="宋体" w:hint="default"/>
                <w:color w:val="auto"/>
              </w:rPr>
              <w:t>全年完成本单位职工人员经费及社保支出758.54万元</w:t>
            </w:r>
            <w:r w:rsidRPr="000F5F11">
              <w:rPr>
                <w:rStyle w:val="font61"/>
                <w:rFonts w:hAnsi="宋体" w:hint="default"/>
              </w:rPr>
              <w:t>。</w:t>
            </w:r>
          </w:p>
          <w:p w:rsidR="000E21A6" w:rsidRDefault="000E21A6" w:rsidP="000E21A6">
            <w:pPr>
              <w:widowControl/>
              <w:jc w:val="left"/>
              <w:textAlignment w:val="top"/>
              <w:rPr>
                <w:rStyle w:val="font61"/>
                <w:rFonts w:hAnsi="宋体" w:hint="default"/>
              </w:rPr>
            </w:pPr>
            <w:r>
              <w:rPr>
                <w:rStyle w:val="font61"/>
                <w:rFonts w:hAnsi="宋体" w:hint="default"/>
              </w:rPr>
              <w:t>3.</w:t>
            </w:r>
            <w:r>
              <w:rPr>
                <w:rStyle w:val="font71"/>
                <w:rFonts w:eastAsia="仿宋_GB2312" w:hint="eastAsia"/>
              </w:rPr>
              <w:t>全年完成</w:t>
            </w:r>
            <w:r>
              <w:rPr>
                <w:rStyle w:val="font61"/>
                <w:rFonts w:hAnsi="宋体" w:hint="default"/>
              </w:rPr>
              <w:t>日常工作正常有序的开展公用经</w:t>
            </w:r>
            <w:r>
              <w:rPr>
                <w:rStyle w:val="font61"/>
                <w:rFonts w:hAnsi="宋体" w:hint="default"/>
              </w:rPr>
              <w:lastRenderedPageBreak/>
              <w:t>费支出68.01万元。</w:t>
            </w:r>
          </w:p>
          <w:p w:rsidR="000E21A6" w:rsidRDefault="000E21A6" w:rsidP="000E21A6">
            <w:pPr>
              <w:widowControl/>
              <w:jc w:val="left"/>
              <w:textAlignment w:val="top"/>
              <w:rPr>
                <w:rStyle w:val="font61"/>
                <w:rFonts w:hAnsi="宋体" w:hint="default"/>
              </w:rPr>
            </w:pPr>
            <w:r>
              <w:rPr>
                <w:rStyle w:val="font61"/>
                <w:rFonts w:hAnsi="宋体" w:hint="default"/>
              </w:rPr>
              <w:t>4.完成了规划技术事务工作的开展支出18.81万元。</w:t>
            </w:r>
          </w:p>
          <w:p w:rsidR="000E21A6" w:rsidRDefault="000E21A6" w:rsidP="000E21A6">
            <w:pPr>
              <w:widowControl/>
              <w:jc w:val="left"/>
              <w:textAlignment w:val="top"/>
              <w:rPr>
                <w:rStyle w:val="font61"/>
                <w:rFonts w:hAnsi="宋体" w:hint="default"/>
              </w:rPr>
            </w:pPr>
            <w:r>
              <w:rPr>
                <w:rStyle w:val="font61"/>
                <w:rFonts w:hAnsi="宋体" w:hint="default"/>
              </w:rPr>
              <w:t>5.完成了规划展览馆日常运行支出65.72万元。</w:t>
            </w:r>
          </w:p>
          <w:p w:rsidR="000E21A6" w:rsidRPr="00036B00" w:rsidRDefault="000E21A6" w:rsidP="000E21A6">
            <w:pPr>
              <w:pStyle w:val="a0"/>
              <w:ind w:firstLineChars="0" w:firstLine="0"/>
            </w:pPr>
            <w:r>
              <w:rPr>
                <w:rStyle w:val="font61"/>
                <w:rFonts w:hAnsi="宋体" w:hint="default"/>
              </w:rPr>
              <w:t>6.完成2024</w:t>
            </w:r>
            <w:r w:rsidRPr="00F4223B">
              <w:rPr>
                <w:rStyle w:val="font61"/>
                <w:rFonts w:hAnsi="宋体" w:hint="default"/>
              </w:rPr>
              <w:t>年各项规划调研、基础资料收集、技术服务等工作经费</w:t>
            </w:r>
            <w:r>
              <w:rPr>
                <w:rStyle w:val="font61"/>
                <w:rFonts w:hAnsi="宋体" w:hint="default"/>
              </w:rPr>
              <w:t>支出38.12万元。</w:t>
            </w:r>
          </w:p>
          <w:p w:rsidR="000E21A6" w:rsidRDefault="000E21A6" w:rsidP="000E21A6">
            <w:pPr>
              <w:rPr>
                <w:rStyle w:val="font71"/>
                <w:rFonts w:eastAsia="仿宋_GB2312"/>
              </w:rPr>
            </w:pPr>
            <w:r>
              <w:rPr>
                <w:rStyle w:val="font61"/>
                <w:rFonts w:hAnsi="宋体" w:hint="default"/>
              </w:rPr>
              <w:t>7.</w:t>
            </w:r>
            <w:r w:rsidRPr="008C0D5A">
              <w:rPr>
                <w:rFonts w:ascii="仿宋_GB2312" w:eastAsia="仿宋_GB2312" w:hint="eastAsia"/>
                <w:sz w:val="20"/>
                <w:szCs w:val="20"/>
              </w:rPr>
              <w:t>退回张顺才城市基础设施配套费</w:t>
            </w:r>
            <w:r>
              <w:rPr>
                <w:rFonts w:ascii="仿宋_GB2312" w:eastAsia="仿宋_GB2312" w:hint="eastAsia"/>
                <w:sz w:val="20"/>
                <w:szCs w:val="20"/>
              </w:rPr>
              <w:t>5.78万元。</w:t>
            </w:r>
          </w:p>
          <w:p w:rsidR="001B455A" w:rsidRPr="0080629F" w:rsidRDefault="000E21A6" w:rsidP="000E21A6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8.</w:t>
            </w:r>
            <w:r>
              <w:rPr>
                <w:rStyle w:val="font71"/>
                <w:rFonts w:eastAsia="仿宋_GB2312" w:hint="eastAsia"/>
              </w:rPr>
              <w:t>按合同约定支付了</w:t>
            </w:r>
            <w:r w:rsidRPr="008C0D5A">
              <w:rPr>
                <w:rStyle w:val="font71"/>
                <w:rFonts w:eastAsia="仿宋_GB2312" w:hint="eastAsia"/>
              </w:rPr>
              <w:t>张吉怀铁路</w:t>
            </w:r>
            <w:r>
              <w:rPr>
                <w:rStyle w:val="font71"/>
                <w:rFonts w:eastAsia="仿宋_GB2312" w:hint="eastAsia"/>
              </w:rPr>
              <w:t>吉首站综合交通枢纽设计服务费尾款</w:t>
            </w:r>
            <w:r>
              <w:rPr>
                <w:rStyle w:val="font71"/>
                <w:rFonts w:ascii="仿宋_GB2312" w:eastAsia="仿宋_GB2312" w:hint="eastAsia"/>
              </w:rPr>
              <w:t>48</w:t>
            </w:r>
            <w:r w:rsidRPr="00AF1E32">
              <w:rPr>
                <w:rStyle w:val="font71"/>
                <w:rFonts w:ascii="仿宋_GB2312" w:eastAsia="仿宋_GB2312" w:hint="eastAsia"/>
              </w:rPr>
              <w:t>.00</w:t>
            </w:r>
            <w:r>
              <w:rPr>
                <w:rStyle w:val="font71"/>
                <w:rFonts w:eastAsia="仿宋_GB2312" w:hint="eastAsia"/>
              </w:rPr>
              <w:t>万元。</w:t>
            </w:r>
          </w:p>
        </w:tc>
      </w:tr>
      <w:tr w:rsidR="00AE0B9A" w:rsidTr="009E0CD5">
        <w:trPr>
          <w:trHeight w:val="780"/>
        </w:trPr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整体支出绩效定量目标及实施计划完成情况</w:t>
            </w: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评价内容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绩效目标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完成情况</w:t>
            </w:r>
          </w:p>
        </w:tc>
      </w:tr>
      <w:tr w:rsidR="00AE0B9A" w:rsidTr="003A34F1">
        <w:trPr>
          <w:trHeight w:val="932"/>
        </w:trPr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产出目标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数量、质量、时效、成本指标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Style w:val="font41"/>
                <w:rFonts w:eastAsia="仿宋_GB2312"/>
              </w:rPr>
              <w:t>1</w:t>
            </w:r>
            <w:r>
              <w:rPr>
                <w:rStyle w:val="font61"/>
                <w:rFonts w:hAnsi="宋体" w:hint="default"/>
              </w:rPr>
              <w:t>：</w:t>
            </w: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在职人员控制率</w:t>
            </w:r>
            <w:r>
              <w:rPr>
                <w:rStyle w:val="font81"/>
                <w:rFonts w:hint="default"/>
              </w:rPr>
              <w:t>≦</w:t>
            </w:r>
            <w:r>
              <w:rPr>
                <w:rStyle w:val="font61"/>
                <w:rFonts w:hAnsi="宋体" w:hint="default"/>
              </w:rPr>
              <w:t>100%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5A" w:rsidRDefault="00986FEA" w:rsidP="000E21A6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人员编制数</w:t>
            </w:r>
            <w:r w:rsidR="000F3B3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</w:t>
            </w:r>
            <w:r w:rsidR="000E21A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="0023211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人，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年</w:t>
            </w:r>
            <w:r w:rsidR="00232113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实有在职人数</w:t>
            </w:r>
            <w:r w:rsidR="000E21A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人，在职人员控制率</w:t>
            </w:r>
            <w:r w:rsidR="000E21A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92.31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%</w:t>
            </w:r>
            <w:r w:rsidR="00F2042C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AE0B9A" w:rsidTr="000E21A6">
        <w:trPr>
          <w:trHeight w:val="822"/>
        </w:trPr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（部门工作实绩，包含上级部门和市委、市政府布置的重点工作、实事任务等，根据部门实际进行调整细化）</w:t>
            </w:r>
          </w:p>
        </w:tc>
        <w:tc>
          <w:tcPr>
            <w:tcW w:w="13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Style w:val="font41"/>
                <w:rFonts w:eastAsia="仿宋_GB2312"/>
              </w:rPr>
              <w:t>2</w:t>
            </w:r>
            <w:r>
              <w:rPr>
                <w:rStyle w:val="font61"/>
                <w:rFonts w:hAnsi="宋体" w:hint="default"/>
              </w:rPr>
              <w:t>：</w:t>
            </w: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“三公”经费变动率</w:t>
            </w:r>
            <w:r>
              <w:rPr>
                <w:rStyle w:val="font81"/>
                <w:rFonts w:hint="default"/>
              </w:rPr>
              <w:t>≦</w:t>
            </w:r>
            <w:r>
              <w:rPr>
                <w:rStyle w:val="font61"/>
                <w:rFonts w:hAnsi="宋体" w:hint="default"/>
              </w:rPr>
              <w:t>0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5A" w:rsidRDefault="001B1C1F" w:rsidP="000E21A6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本年</w:t>
            </w:r>
            <w:r w:rsidR="000E21A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“三公”经费变动率</w:t>
            </w:r>
            <w:r w:rsidR="000E21A6">
              <w:rPr>
                <w:rStyle w:val="font81"/>
                <w:rFonts w:hint="default"/>
              </w:rPr>
              <w:t>≦</w:t>
            </w:r>
            <w:r w:rsidR="000E21A6">
              <w:rPr>
                <w:rStyle w:val="font61"/>
                <w:rFonts w:hAnsi="宋体" w:hint="default"/>
              </w:rPr>
              <w:t>0</w:t>
            </w:r>
          </w:p>
        </w:tc>
      </w:tr>
      <w:tr w:rsidR="00AE0B9A" w:rsidTr="00330A6C">
        <w:trPr>
          <w:trHeight w:val="834"/>
        </w:trPr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Style w:val="font41"/>
                <w:rFonts w:eastAsia="仿宋_GB2312"/>
              </w:rPr>
              <w:t>3</w:t>
            </w:r>
            <w:r>
              <w:rPr>
                <w:rStyle w:val="font61"/>
                <w:rFonts w:hAnsi="宋体" w:hint="default"/>
              </w:rPr>
              <w:t>：</w:t>
            </w: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新建楼堂馆所面积控制率≤100%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 w:rsidP="003A34F1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本年度无新建楼堂馆所</w:t>
            </w:r>
            <w:r w:rsidR="00F2042C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AE0B9A" w:rsidTr="00330A6C">
        <w:trPr>
          <w:trHeight w:val="1027"/>
        </w:trPr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Style w:val="font41"/>
                <w:rFonts w:eastAsia="仿宋_GB2312"/>
              </w:rPr>
              <w:t>4</w:t>
            </w:r>
            <w:r>
              <w:rPr>
                <w:rStyle w:val="font61"/>
                <w:rFonts w:hAnsi="宋体" w:hint="default"/>
              </w:rPr>
              <w:t>：</w:t>
            </w: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预算控制率≤10%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5A" w:rsidRDefault="00986FEA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剔除不可预计不可控因素，本年度预算控制率≤10%</w:t>
            </w:r>
            <w:r w:rsidR="00F2042C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AE0B9A" w:rsidTr="00330A6C">
        <w:trPr>
          <w:trHeight w:val="1544"/>
        </w:trPr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Style w:val="font41"/>
                <w:rFonts w:eastAsia="仿宋_GB2312"/>
              </w:rPr>
              <w:t>5</w:t>
            </w:r>
            <w:r>
              <w:rPr>
                <w:rStyle w:val="font61"/>
                <w:rFonts w:hAnsi="宋体" w:hint="default"/>
              </w:rPr>
              <w:t>：</w:t>
            </w: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预算完成率≤10%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5A" w:rsidRDefault="00986FEA" w:rsidP="00330A6C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年初预算</w:t>
            </w:r>
            <w:r w:rsidR="00330A6C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数</w:t>
            </w:r>
            <w:r w:rsidR="000E21A6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895.34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万元，</w:t>
            </w:r>
            <w:r w:rsidR="00330A6C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全年预算数976.74万元，全年执行数934.97万元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，年末结余</w:t>
            </w:r>
            <w:r w:rsidR="000F3B37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0.00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万元，</w:t>
            </w:r>
            <w:r w:rsidR="00330A6C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执行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率</w:t>
            </w:r>
            <w:r w:rsidR="00330A6C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95.72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%</w:t>
            </w:r>
            <w:r w:rsidR="00F2042C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AE0B9A" w:rsidTr="003A34F1">
        <w:trPr>
          <w:trHeight w:val="835"/>
        </w:trPr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Style w:val="font41"/>
                <w:rFonts w:eastAsia="仿宋_GB2312"/>
              </w:rPr>
              <w:t>6</w:t>
            </w:r>
            <w:r>
              <w:rPr>
                <w:rStyle w:val="font61"/>
                <w:rFonts w:hAnsi="宋体" w:hint="default"/>
              </w:rPr>
              <w:t>：</w:t>
            </w: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公用经费控制率≤100%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053C1" w:rsidP="00EF3BF9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本年</w:t>
            </w:r>
            <w:r w:rsidR="00F2042C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度公用经费控制率≤100%。</w:t>
            </w:r>
          </w:p>
        </w:tc>
      </w:tr>
      <w:tr w:rsidR="00AE0B9A" w:rsidTr="00EF3BF9">
        <w:trPr>
          <w:trHeight w:val="1542"/>
        </w:trPr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Style w:val="font41"/>
                <w:rFonts w:eastAsia="仿宋_GB2312"/>
              </w:rPr>
              <w:t>7</w:t>
            </w:r>
            <w:r>
              <w:rPr>
                <w:rStyle w:val="font61"/>
                <w:rFonts w:hAnsi="宋体" w:hint="default"/>
              </w:rPr>
              <w:t>：</w:t>
            </w: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政府采购执行合规=100%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5A" w:rsidRDefault="00986FEA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本单位本年应进行政府集中的事项均通过政府采购。本单位认真执行限额采购，采购手续齐全，不超标、不超额、不违规</w:t>
            </w:r>
            <w:r w:rsidR="00F2042C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AE0B9A" w:rsidTr="00330A6C">
        <w:trPr>
          <w:trHeight w:val="1854"/>
        </w:trPr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Style w:val="font41"/>
                <w:rFonts w:eastAsia="仿宋_GB2312"/>
              </w:rPr>
              <w:t>8</w:t>
            </w:r>
            <w:r>
              <w:rPr>
                <w:rStyle w:val="font61"/>
                <w:rFonts w:hAnsi="宋体" w:hint="default"/>
              </w:rPr>
              <w:t>：</w:t>
            </w: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预算支付进度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5A" w:rsidRDefault="00986FEA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前三季度安排支付进度不理想，主要集中在第四季度支付，原因：一是项目实施进度慢有待加强，二是资金指标集中在第四季度下达需要完善</w:t>
            </w:r>
            <w:r w:rsidR="00F2042C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AE0B9A" w:rsidTr="00EF3BF9">
        <w:trPr>
          <w:trHeight w:val="718"/>
        </w:trPr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Style w:val="font41"/>
                <w:rFonts w:eastAsia="仿宋_GB2312"/>
              </w:rPr>
              <w:t>9</w:t>
            </w:r>
            <w:r>
              <w:rPr>
                <w:rStyle w:val="font61"/>
                <w:rFonts w:hAnsi="宋体" w:hint="default"/>
              </w:rPr>
              <w:t>：</w:t>
            </w: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工作质量达标率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95%</w:t>
            </w:r>
          </w:p>
        </w:tc>
      </w:tr>
      <w:tr w:rsidR="00AE0B9A" w:rsidTr="00F60DA4">
        <w:trPr>
          <w:trHeight w:val="900"/>
        </w:trPr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效益目标</w:t>
            </w:r>
          </w:p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（预期实现的效益）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社会、经济、生态效益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Style w:val="font41"/>
                <w:rFonts w:eastAsia="仿宋_GB2312"/>
              </w:rPr>
              <w:t>1</w:t>
            </w:r>
            <w:r>
              <w:rPr>
                <w:rStyle w:val="font61"/>
                <w:rFonts w:hAnsi="宋体" w:hint="default"/>
              </w:rPr>
              <w:t>：</w:t>
            </w: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F60D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单位履职正常开展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Pr="00F60DA4" w:rsidRDefault="00F60DA4" w:rsidP="00F60DA4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保障了单位履职正常有序的开展，更好的服务社会。</w:t>
            </w:r>
          </w:p>
        </w:tc>
      </w:tr>
      <w:tr w:rsidR="00F2042C" w:rsidTr="00EF3BF9">
        <w:trPr>
          <w:trHeight w:val="725"/>
        </w:trPr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2C" w:rsidRDefault="00F2042C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2C" w:rsidRDefault="00F2042C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2C" w:rsidRDefault="00F2042C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2C" w:rsidRDefault="00F204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Style w:val="font41"/>
                <w:rFonts w:eastAsia="仿宋_GB2312" w:hint="eastAsia"/>
              </w:rPr>
              <w:t>2</w:t>
            </w:r>
            <w:r>
              <w:rPr>
                <w:rStyle w:val="font61"/>
                <w:rFonts w:hAnsi="宋体" w:hint="default"/>
              </w:rPr>
              <w:t>：</w:t>
            </w: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2C" w:rsidRDefault="00F2042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安全生产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42C" w:rsidRDefault="00F2042C" w:rsidP="00F2042C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 w:rsidRPr="00F2042C"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全年无重大安全事件发生</w:t>
            </w:r>
          </w:p>
        </w:tc>
      </w:tr>
      <w:tr w:rsidR="00AE0B9A" w:rsidTr="00EF3BF9">
        <w:trPr>
          <w:trHeight w:val="742"/>
        </w:trPr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社会公众或服务对象满意度</w:t>
            </w: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Style w:val="font41"/>
                <w:rFonts w:eastAsia="仿宋_GB2312"/>
              </w:rPr>
              <w:t>1</w:t>
            </w:r>
            <w:r>
              <w:rPr>
                <w:rStyle w:val="font61"/>
                <w:rFonts w:hAnsi="宋体" w:hint="default"/>
              </w:rPr>
              <w:t>：</w:t>
            </w: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服务对象工作满意度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0E21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100</w:t>
            </w:r>
            <w:r w:rsidR="007B5EE0"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 w:rsidR="00AE0B9A" w:rsidTr="00EF3BF9">
        <w:trPr>
          <w:trHeight w:val="836"/>
        </w:trPr>
        <w:tc>
          <w:tcPr>
            <w:tcW w:w="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Style w:val="font41"/>
                <w:rFonts w:eastAsia="仿宋_GB2312"/>
              </w:rPr>
              <w:t>2</w:t>
            </w:r>
            <w:r>
              <w:rPr>
                <w:rStyle w:val="font61"/>
                <w:rFonts w:hAnsi="宋体" w:hint="default"/>
              </w:rPr>
              <w:t>：</w:t>
            </w: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部门内部员工工作满意度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7B5E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 w:rsidR="00AE0B9A" w:rsidTr="00330A6C">
        <w:trPr>
          <w:trHeight w:val="1142"/>
        </w:trPr>
        <w:tc>
          <w:tcPr>
            <w:tcW w:w="20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绩效自评综合得分及评价等次</w:t>
            </w:r>
          </w:p>
        </w:tc>
        <w:tc>
          <w:tcPr>
            <w:tcW w:w="65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 w:rsidP="00026329">
            <w:pPr>
              <w:widowControl/>
              <w:ind w:firstLineChars="300" w:firstLine="630"/>
              <w:textAlignment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  <w:r>
              <w:rPr>
                <w:rStyle w:val="font101"/>
                <w:rFonts w:hAnsi="宋体"/>
              </w:rPr>
              <w:t xml:space="preserve">评分： </w:t>
            </w:r>
            <w:r w:rsidR="00232113" w:rsidRPr="00026329">
              <w:rPr>
                <w:rStyle w:val="font21"/>
                <w:rFonts w:eastAsia="楷体_GB2312"/>
                <w:color w:val="auto"/>
              </w:rPr>
              <w:t>9</w:t>
            </w:r>
            <w:r w:rsidR="00330A6C">
              <w:rPr>
                <w:rStyle w:val="font21"/>
                <w:rFonts w:eastAsia="楷体_GB2312" w:hint="eastAsia"/>
                <w:color w:val="auto"/>
              </w:rPr>
              <w:t>7.36</w:t>
            </w:r>
            <w:r w:rsidRPr="007B5EE0">
              <w:rPr>
                <w:rStyle w:val="font21"/>
                <w:rFonts w:eastAsia="楷体_GB2312"/>
                <w:color w:val="FF0000"/>
              </w:rPr>
              <w:t xml:space="preserve"> </w:t>
            </w:r>
            <w:r>
              <w:rPr>
                <w:rStyle w:val="font21"/>
                <w:rFonts w:eastAsia="楷体_GB2312"/>
              </w:rPr>
              <w:t xml:space="preserve">                          </w:t>
            </w:r>
            <w:r>
              <w:rPr>
                <w:rStyle w:val="font101"/>
                <w:rFonts w:hAnsi="宋体"/>
              </w:rPr>
              <w:t>等级：优</w:t>
            </w:r>
          </w:p>
        </w:tc>
      </w:tr>
      <w:tr w:rsidR="00AE0B9A" w:rsidTr="009E0CD5">
        <w:trPr>
          <w:trHeight w:val="412"/>
        </w:trPr>
        <w:tc>
          <w:tcPr>
            <w:tcW w:w="20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585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111"/>
                <w:rFonts w:hint="default"/>
              </w:rPr>
              <w:t>备注：</w:t>
            </w:r>
            <w:r>
              <w:rPr>
                <w:rStyle w:val="font171"/>
              </w:rPr>
              <w:t>90</w:t>
            </w:r>
            <w:r>
              <w:rPr>
                <w:rStyle w:val="font181"/>
                <w:rFonts w:hAnsi="宋体" w:hint="default"/>
              </w:rPr>
              <w:t>（含）</w:t>
            </w:r>
            <w:r>
              <w:rPr>
                <w:rStyle w:val="font181"/>
                <w:rFonts w:hAnsi="宋体" w:hint="default"/>
              </w:rPr>
              <w:t>—</w:t>
            </w:r>
            <w:r>
              <w:rPr>
                <w:rStyle w:val="font171"/>
              </w:rPr>
              <w:t>100</w:t>
            </w:r>
            <w:r>
              <w:rPr>
                <w:rStyle w:val="font181"/>
                <w:rFonts w:hAnsi="宋体" w:hint="default"/>
              </w:rPr>
              <w:t>分为优；</w:t>
            </w:r>
            <w:r>
              <w:rPr>
                <w:rStyle w:val="font171"/>
              </w:rPr>
              <w:t>80</w:t>
            </w:r>
            <w:r>
              <w:rPr>
                <w:rStyle w:val="font181"/>
                <w:rFonts w:hAnsi="宋体" w:hint="default"/>
              </w:rPr>
              <w:t>（含）</w:t>
            </w:r>
            <w:r>
              <w:rPr>
                <w:rStyle w:val="font181"/>
                <w:rFonts w:hAnsi="宋体" w:hint="default"/>
              </w:rPr>
              <w:t>—</w:t>
            </w:r>
            <w:r>
              <w:rPr>
                <w:rStyle w:val="font171"/>
              </w:rPr>
              <w:t>90</w:t>
            </w:r>
            <w:r>
              <w:rPr>
                <w:rStyle w:val="font181"/>
                <w:rFonts w:hAnsi="宋体" w:hint="default"/>
              </w:rPr>
              <w:t>分为良；</w:t>
            </w:r>
            <w:r>
              <w:rPr>
                <w:rStyle w:val="font171"/>
              </w:rPr>
              <w:t xml:space="preserve"> 60</w:t>
            </w:r>
            <w:r>
              <w:rPr>
                <w:rStyle w:val="font181"/>
                <w:rFonts w:hAnsi="宋体" w:hint="default"/>
              </w:rPr>
              <w:t>（含）</w:t>
            </w:r>
            <w:r>
              <w:rPr>
                <w:rStyle w:val="font181"/>
                <w:rFonts w:hAnsi="宋体" w:hint="default"/>
              </w:rPr>
              <w:t>—</w:t>
            </w:r>
            <w:r>
              <w:rPr>
                <w:rStyle w:val="font171"/>
              </w:rPr>
              <w:t>80</w:t>
            </w:r>
            <w:r>
              <w:rPr>
                <w:rStyle w:val="font181"/>
                <w:rFonts w:hAnsi="宋体" w:hint="default"/>
              </w:rPr>
              <w:t xml:space="preserve"> 分为较差；</w:t>
            </w:r>
            <w:r>
              <w:rPr>
                <w:rStyle w:val="font171"/>
              </w:rPr>
              <w:t>60</w:t>
            </w:r>
            <w:r>
              <w:rPr>
                <w:rStyle w:val="font181"/>
                <w:rFonts w:hAnsi="宋体" w:hint="default"/>
              </w:rPr>
              <w:t>分以下为差。</w:t>
            </w:r>
          </w:p>
        </w:tc>
      </w:tr>
      <w:tr w:rsidR="00AE0B9A" w:rsidTr="00330A6C">
        <w:trPr>
          <w:trHeight w:val="838"/>
        </w:trPr>
        <w:tc>
          <w:tcPr>
            <w:tcW w:w="20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6585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B455A" w:rsidTr="00EF3BF9">
        <w:trPr>
          <w:trHeight w:val="1263"/>
        </w:trPr>
        <w:tc>
          <w:tcPr>
            <w:tcW w:w="866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lastRenderedPageBreak/>
              <w:t>四、评价人员</w:t>
            </w:r>
          </w:p>
        </w:tc>
      </w:tr>
      <w:tr w:rsidR="00AE0B9A" w:rsidTr="003A34F1">
        <w:trPr>
          <w:trHeight w:val="624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Style w:val="font91"/>
                <w:rFonts w:hAnsi="宋体" w:hint="default"/>
              </w:rPr>
              <w:t xml:space="preserve">姓 </w:t>
            </w:r>
            <w:r>
              <w:rPr>
                <w:rStyle w:val="font191"/>
                <w:rFonts w:eastAsia="仿宋_GB2312"/>
              </w:rPr>
              <w:t xml:space="preserve"> </w:t>
            </w:r>
            <w:r>
              <w:rPr>
                <w:rStyle w:val="font91"/>
                <w:rFonts w:hAnsi="宋体" w:hint="default"/>
              </w:rPr>
              <w:t>名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Style w:val="font91"/>
                <w:rFonts w:hAnsi="宋体" w:hint="default"/>
              </w:rPr>
              <w:t>职务</w:t>
            </w:r>
            <w:r>
              <w:rPr>
                <w:rStyle w:val="font191"/>
                <w:rFonts w:eastAsia="仿宋_GB2312"/>
              </w:rPr>
              <w:t>/</w:t>
            </w:r>
            <w:r>
              <w:rPr>
                <w:rStyle w:val="font91"/>
                <w:rFonts w:hAnsi="宋体" w:hint="default"/>
              </w:rPr>
              <w:t>职称</w:t>
            </w:r>
          </w:p>
        </w:tc>
        <w:tc>
          <w:tcPr>
            <w:tcW w:w="2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Style w:val="font91"/>
                <w:rFonts w:hAnsi="宋体" w:hint="default"/>
              </w:rPr>
              <w:t xml:space="preserve">单 </w:t>
            </w:r>
            <w:r>
              <w:rPr>
                <w:rStyle w:val="font191"/>
                <w:rFonts w:eastAsia="仿宋_GB2312"/>
              </w:rPr>
              <w:t xml:space="preserve"> </w:t>
            </w:r>
            <w:r>
              <w:rPr>
                <w:rStyle w:val="font91"/>
                <w:rFonts w:hAnsi="宋体" w:hint="default"/>
              </w:rPr>
              <w:t>位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986FE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Style w:val="font91"/>
                <w:rFonts w:hAnsi="宋体" w:hint="default"/>
              </w:rPr>
              <w:t xml:space="preserve">签 </w:t>
            </w:r>
            <w:r>
              <w:rPr>
                <w:rStyle w:val="font191"/>
                <w:rFonts w:eastAsia="仿宋_GB2312"/>
              </w:rPr>
              <w:t xml:space="preserve"> </w:t>
            </w:r>
            <w:r>
              <w:rPr>
                <w:rStyle w:val="font91"/>
                <w:rFonts w:hAnsi="宋体" w:hint="default"/>
              </w:rPr>
              <w:t>字</w:t>
            </w:r>
          </w:p>
        </w:tc>
      </w:tr>
      <w:tr w:rsidR="00AE0B9A" w:rsidTr="00DC16AE">
        <w:trPr>
          <w:trHeight w:val="443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C55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黄巍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084F2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会计</w:t>
            </w:r>
          </w:p>
        </w:tc>
        <w:tc>
          <w:tcPr>
            <w:tcW w:w="2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330A6C" w:rsidP="00330A6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吉首市城乡</w:t>
            </w:r>
            <w:r w:rsidR="00DC16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规划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事务</w:t>
            </w:r>
            <w:r w:rsidR="00DC16AE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中心</w:t>
            </w: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AE0B9A" w:rsidTr="003A34F1">
        <w:trPr>
          <w:trHeight w:val="633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55A" w:rsidRDefault="001B45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B455A" w:rsidTr="003A34F1">
        <w:trPr>
          <w:trHeight w:val="3103"/>
        </w:trPr>
        <w:tc>
          <w:tcPr>
            <w:tcW w:w="8662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455A" w:rsidRDefault="00986FEA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评价组组长签署意见：</w:t>
            </w:r>
          </w:p>
          <w:p w:rsidR="001B455A" w:rsidRDefault="001B455A" w:rsidP="00925AB0">
            <w:pPr>
              <w:pStyle w:val="a0"/>
              <w:ind w:firstLineChars="0" w:firstLine="0"/>
            </w:pPr>
          </w:p>
          <w:p w:rsidR="005461BA" w:rsidRDefault="005461BA" w:rsidP="00925AB0">
            <w:pPr>
              <w:pStyle w:val="a0"/>
              <w:ind w:firstLineChars="0" w:firstLine="0"/>
            </w:pPr>
          </w:p>
          <w:p w:rsidR="005461BA" w:rsidRDefault="005461BA" w:rsidP="00925AB0">
            <w:pPr>
              <w:pStyle w:val="a0"/>
              <w:ind w:firstLineChars="0" w:firstLine="0"/>
            </w:pPr>
          </w:p>
          <w:p w:rsidR="005461BA" w:rsidRDefault="005461BA" w:rsidP="00925AB0">
            <w:pPr>
              <w:pStyle w:val="a0"/>
              <w:ind w:firstLineChars="0" w:firstLine="0"/>
            </w:pPr>
          </w:p>
          <w:p w:rsidR="005461BA" w:rsidRDefault="005461BA" w:rsidP="00925AB0">
            <w:pPr>
              <w:pStyle w:val="a0"/>
              <w:ind w:firstLineChars="0" w:firstLine="0"/>
            </w:pPr>
          </w:p>
          <w:p w:rsidR="001B455A" w:rsidRDefault="00986FEA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</w:t>
            </w:r>
            <w:r w:rsidR="00925A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评价组组长（签字）：</w:t>
            </w:r>
          </w:p>
          <w:p w:rsidR="0035056E" w:rsidRPr="0035056E" w:rsidRDefault="0035056E" w:rsidP="0035056E">
            <w:pPr>
              <w:pStyle w:val="a0"/>
              <w:ind w:firstLine="480"/>
              <w:rPr>
                <w:sz w:val="24"/>
              </w:rPr>
            </w:pPr>
          </w:p>
          <w:p w:rsidR="001B455A" w:rsidRDefault="00986FEA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</w:t>
            </w:r>
            <w:r w:rsidR="00925A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 w:rsidR="001B455A" w:rsidTr="0035056E">
        <w:trPr>
          <w:trHeight w:val="3117"/>
        </w:trPr>
        <w:tc>
          <w:tcPr>
            <w:tcW w:w="8662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455A" w:rsidRDefault="00986FEA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部门（单位）意见：</w:t>
            </w:r>
          </w:p>
          <w:p w:rsidR="001B455A" w:rsidRDefault="001B455A" w:rsidP="00925AB0">
            <w:pPr>
              <w:pStyle w:val="a0"/>
              <w:ind w:firstLineChars="0" w:firstLine="0"/>
            </w:pPr>
          </w:p>
          <w:p w:rsidR="001B455A" w:rsidRDefault="00986FEA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</w:t>
            </w:r>
          </w:p>
          <w:p w:rsidR="005461BA" w:rsidRDefault="005461BA" w:rsidP="005461BA">
            <w:pPr>
              <w:pStyle w:val="a0"/>
              <w:ind w:firstLine="640"/>
            </w:pPr>
          </w:p>
          <w:p w:rsidR="005461BA" w:rsidRDefault="005461BA" w:rsidP="005461BA">
            <w:pPr>
              <w:pStyle w:val="a0"/>
              <w:ind w:firstLine="640"/>
            </w:pPr>
          </w:p>
          <w:p w:rsidR="005461BA" w:rsidRPr="005461BA" w:rsidRDefault="005461BA" w:rsidP="005461BA">
            <w:pPr>
              <w:pStyle w:val="a0"/>
              <w:ind w:firstLine="640"/>
            </w:pPr>
          </w:p>
          <w:p w:rsidR="001B455A" w:rsidRDefault="00986FEA" w:rsidP="0035056E">
            <w:pPr>
              <w:widowControl/>
              <w:ind w:firstLine="465"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部门（单位）负责人（签字）：          </w:t>
            </w:r>
            <w:r w:rsidR="00EF3BF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 w:rsidR="00925A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部门（单位）（盖章）：</w:t>
            </w:r>
          </w:p>
          <w:p w:rsidR="0035056E" w:rsidRPr="0035056E" w:rsidRDefault="0035056E" w:rsidP="0035056E">
            <w:pPr>
              <w:pStyle w:val="a0"/>
              <w:ind w:firstLineChars="145" w:firstLine="348"/>
              <w:rPr>
                <w:sz w:val="24"/>
              </w:rPr>
            </w:pPr>
          </w:p>
          <w:p w:rsidR="001B455A" w:rsidRDefault="00986FEA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</w:t>
            </w:r>
            <w:r w:rsidR="00925A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</w:t>
            </w:r>
            <w:r w:rsidR="00925A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月</w:t>
            </w:r>
            <w:r w:rsidR="00925A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日                                               </w:t>
            </w:r>
          </w:p>
        </w:tc>
      </w:tr>
      <w:tr w:rsidR="001B455A" w:rsidTr="003A34F1">
        <w:trPr>
          <w:trHeight w:val="3400"/>
        </w:trPr>
        <w:tc>
          <w:tcPr>
            <w:tcW w:w="866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5A" w:rsidRPr="00925AB0" w:rsidRDefault="00986FEA" w:rsidP="00925AB0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财政部门归口业务股室意见：</w:t>
            </w:r>
          </w:p>
          <w:p w:rsidR="001B455A" w:rsidRDefault="00986FEA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</w:t>
            </w:r>
          </w:p>
          <w:p w:rsidR="00925AB0" w:rsidRPr="00925AB0" w:rsidRDefault="00925AB0" w:rsidP="00925AB0">
            <w:pPr>
              <w:pStyle w:val="a0"/>
              <w:ind w:firstLine="640"/>
            </w:pPr>
          </w:p>
          <w:p w:rsidR="00925AB0" w:rsidRDefault="00925AB0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:rsidR="005461BA" w:rsidRDefault="005461BA" w:rsidP="005461BA">
            <w:pPr>
              <w:pStyle w:val="a0"/>
              <w:ind w:firstLine="640"/>
            </w:pPr>
          </w:p>
          <w:p w:rsidR="005461BA" w:rsidRPr="005461BA" w:rsidRDefault="005461BA" w:rsidP="005461BA">
            <w:pPr>
              <w:pStyle w:val="a0"/>
              <w:ind w:firstLine="640"/>
            </w:pPr>
          </w:p>
          <w:p w:rsidR="001B455A" w:rsidRDefault="00925AB0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</w:t>
            </w:r>
          </w:p>
          <w:p w:rsidR="0035056E" w:rsidRDefault="005A4D5C" w:rsidP="00925AB0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财政部门归口业务股室负责人（签字）：  </w:t>
            </w:r>
            <w:r w:rsidR="00EF3BF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  <w:r w:rsidR="00986FE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财政部门归口业务股室（盖章）：</w:t>
            </w:r>
          </w:p>
          <w:p w:rsidR="001B455A" w:rsidRDefault="00986FEA" w:rsidP="00925AB0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     </w:t>
            </w:r>
          </w:p>
          <w:p w:rsidR="001B455A" w:rsidRDefault="00986FEA" w:rsidP="005A4D5C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 </w:t>
            </w:r>
            <w:r w:rsidR="005A4D5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</w:t>
            </w:r>
            <w:r w:rsidR="00925AB0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</w:t>
            </w:r>
            <w:r w:rsidR="005A4D5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年   月   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1B455A" w:rsidRDefault="001B455A">
      <w:pPr>
        <w:pStyle w:val="a0"/>
        <w:ind w:firstLineChars="0" w:firstLine="0"/>
      </w:pPr>
    </w:p>
    <w:p w:rsidR="001B455A" w:rsidRPr="00330A6C" w:rsidRDefault="00986FEA">
      <w:pPr>
        <w:spacing w:line="578" w:lineRule="atLeast"/>
        <w:jc w:val="center"/>
        <w:rPr>
          <w:rFonts w:ascii="微软雅黑" w:eastAsia="微软雅黑" w:hAnsi="微软雅黑" w:cs="Arial"/>
          <w:bCs/>
          <w:sz w:val="44"/>
          <w:szCs w:val="44"/>
        </w:rPr>
      </w:pPr>
      <w:r w:rsidRPr="00330A6C">
        <w:rPr>
          <w:rFonts w:ascii="微软雅黑" w:eastAsia="微软雅黑" w:hAnsi="微软雅黑" w:cs="Arial" w:hint="eastAsia"/>
          <w:bCs/>
          <w:sz w:val="44"/>
          <w:szCs w:val="44"/>
        </w:rPr>
        <w:lastRenderedPageBreak/>
        <w:t>吉首市</w:t>
      </w:r>
      <w:r w:rsidR="00330A6C">
        <w:rPr>
          <w:rFonts w:ascii="微软雅黑" w:eastAsia="微软雅黑" w:hAnsi="微软雅黑" w:cs="Arial" w:hint="eastAsia"/>
          <w:bCs/>
          <w:sz w:val="44"/>
          <w:szCs w:val="44"/>
        </w:rPr>
        <w:t>城乡</w:t>
      </w:r>
      <w:r w:rsidR="005A4D5C" w:rsidRPr="00330A6C">
        <w:rPr>
          <w:rFonts w:ascii="微软雅黑" w:eastAsia="微软雅黑" w:hAnsi="微软雅黑" w:cs="Arial" w:hint="eastAsia"/>
          <w:bCs/>
          <w:sz w:val="44"/>
          <w:szCs w:val="44"/>
        </w:rPr>
        <w:t>规划</w:t>
      </w:r>
      <w:r w:rsidR="00330A6C">
        <w:rPr>
          <w:rFonts w:ascii="微软雅黑" w:eastAsia="微软雅黑" w:hAnsi="微软雅黑" w:cs="Arial" w:hint="eastAsia"/>
          <w:bCs/>
          <w:sz w:val="44"/>
          <w:szCs w:val="44"/>
        </w:rPr>
        <w:t>事务</w:t>
      </w:r>
      <w:r w:rsidR="005A4D5C" w:rsidRPr="00330A6C">
        <w:rPr>
          <w:rFonts w:ascii="微软雅黑" w:eastAsia="微软雅黑" w:hAnsi="微软雅黑" w:cs="Arial" w:hint="eastAsia"/>
          <w:bCs/>
          <w:sz w:val="44"/>
          <w:szCs w:val="44"/>
        </w:rPr>
        <w:t>中心</w:t>
      </w:r>
    </w:p>
    <w:p w:rsidR="001B455A" w:rsidRPr="00330A6C" w:rsidRDefault="00330A6C">
      <w:pPr>
        <w:spacing w:line="578" w:lineRule="atLeast"/>
        <w:jc w:val="center"/>
        <w:rPr>
          <w:rFonts w:ascii="微软雅黑" w:eastAsia="微软雅黑" w:hAnsi="微软雅黑" w:cs="Arial"/>
          <w:bCs/>
          <w:sz w:val="44"/>
          <w:szCs w:val="44"/>
        </w:rPr>
      </w:pPr>
      <w:r>
        <w:rPr>
          <w:rFonts w:ascii="微软雅黑" w:eastAsia="微软雅黑" w:hAnsi="微软雅黑" w:cs="Arial" w:hint="eastAsia"/>
          <w:bCs/>
          <w:sz w:val="44"/>
          <w:szCs w:val="44"/>
        </w:rPr>
        <w:t>2024</w:t>
      </w:r>
      <w:r w:rsidR="00986FEA" w:rsidRPr="00330A6C">
        <w:rPr>
          <w:rFonts w:ascii="微软雅黑" w:eastAsia="微软雅黑" w:hAnsi="微软雅黑" w:cs="Arial" w:hint="eastAsia"/>
          <w:bCs/>
          <w:sz w:val="44"/>
          <w:szCs w:val="44"/>
        </w:rPr>
        <w:t>年度部门整体支出绩效评价报告</w:t>
      </w:r>
    </w:p>
    <w:p w:rsidR="001B455A" w:rsidRDefault="001B455A">
      <w:pPr>
        <w:spacing w:line="600" w:lineRule="exact"/>
        <w:jc w:val="center"/>
        <w:rPr>
          <w:rFonts w:eastAsia="楷体_GB2312"/>
          <w:sz w:val="32"/>
          <w:szCs w:val="32"/>
        </w:rPr>
      </w:pPr>
    </w:p>
    <w:p w:rsidR="001B455A" w:rsidRDefault="00986FEA" w:rsidP="002B4CB2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 w:rsidR="001B455A" w:rsidRDefault="00986FEA" w:rsidP="002B4CB2">
      <w:pPr>
        <w:spacing w:line="58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（一）部门（单位）基本情</w:t>
      </w:r>
      <w:r>
        <w:rPr>
          <w:rFonts w:cs="宋体" w:hint="eastAsia"/>
          <w:b/>
          <w:bCs/>
          <w:sz w:val="32"/>
          <w:szCs w:val="32"/>
        </w:rPr>
        <w:t>况</w:t>
      </w:r>
    </w:p>
    <w:p w:rsidR="001B455A" w:rsidRPr="00A224A2" w:rsidRDefault="00A224A2" w:rsidP="002B4CB2">
      <w:pPr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1、</w:t>
      </w:r>
      <w:r w:rsidR="00986FEA" w:rsidRPr="00A224A2">
        <w:rPr>
          <w:rFonts w:ascii="仿宋_GB2312" w:eastAsia="仿宋_GB2312" w:hAnsi="仿宋_GB2312" w:cs="仿宋_GB2312" w:hint="eastAsia"/>
          <w:bCs/>
          <w:sz w:val="32"/>
          <w:szCs w:val="32"/>
        </w:rPr>
        <w:t>部门主要职责</w:t>
      </w:r>
    </w:p>
    <w:p w:rsidR="009E32B9" w:rsidRDefault="009E32B9" w:rsidP="002B4CB2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（1）负责为各类建设项目提供信息技术、基础测绘等服务保障工作。</w:t>
      </w:r>
    </w:p>
    <w:p w:rsidR="009E32B9" w:rsidRDefault="009E32B9" w:rsidP="002B4CB2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（2）承担审查公共建设项目、私人建设项目规划设计条件、建设用地许可、建设工程许可等事务性工作。</w:t>
      </w:r>
    </w:p>
    <w:p w:rsidR="009E32B9" w:rsidRDefault="009E32B9" w:rsidP="002B4CB2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（3）承担审查市政工程建设项目建设工程许可等事务性工作。</w:t>
      </w:r>
    </w:p>
    <w:p w:rsidR="001B455A" w:rsidRDefault="009E32B9" w:rsidP="002B4CB2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（4）完成市自然资源局交办的其他工作任务。</w:t>
      </w:r>
    </w:p>
    <w:p w:rsidR="001B455A" w:rsidRPr="00A224A2" w:rsidRDefault="00A224A2" w:rsidP="002B4CB2">
      <w:pPr>
        <w:pStyle w:val="2"/>
        <w:keepNext w:val="0"/>
        <w:keepLines w:val="0"/>
        <w:spacing w:line="580" w:lineRule="exact"/>
        <w:ind w:firstLineChars="200" w:firstLine="640"/>
        <w:rPr>
          <w:rFonts w:ascii="Times New Roman" w:eastAsia="方正楷体_GBK" w:hAnsi="Times New Roman"/>
          <w:b w:val="0"/>
          <w:szCs w:val="32"/>
        </w:rPr>
      </w:pPr>
      <w:bookmarkStart w:id="0" w:name="_Toc904650332_WPSOffice_Level2"/>
      <w:bookmarkStart w:id="1" w:name="_Toc812334712_WPSOffice_Level2"/>
      <w:bookmarkStart w:id="2" w:name="_Toc5609"/>
      <w:bookmarkStart w:id="3" w:name="_Toc250"/>
      <w:bookmarkStart w:id="4" w:name="_Toc645927631_WPSOffice_Level2"/>
      <w:bookmarkStart w:id="5" w:name="_Toc1457295186"/>
      <w:bookmarkStart w:id="6" w:name="_Toc24425"/>
      <w:r>
        <w:rPr>
          <w:rFonts w:ascii="仿宋_GB2312" w:eastAsia="仿宋_GB2312" w:hAnsi="仿宋_GB2312" w:cs="仿宋_GB2312" w:hint="eastAsia"/>
          <w:b w:val="0"/>
          <w:szCs w:val="32"/>
        </w:rPr>
        <w:t>2、</w:t>
      </w:r>
      <w:r w:rsidR="00986FEA" w:rsidRPr="00A224A2">
        <w:rPr>
          <w:rFonts w:ascii="仿宋_GB2312" w:eastAsia="仿宋_GB2312" w:hAnsi="仿宋_GB2312" w:cs="仿宋_GB2312" w:hint="eastAsia"/>
          <w:b w:val="0"/>
          <w:szCs w:val="32"/>
        </w:rPr>
        <w:t>单位内设机构及直属机构情况</w:t>
      </w:r>
      <w:bookmarkEnd w:id="0"/>
      <w:bookmarkEnd w:id="1"/>
      <w:bookmarkEnd w:id="2"/>
      <w:bookmarkEnd w:id="3"/>
      <w:bookmarkEnd w:id="4"/>
      <w:bookmarkEnd w:id="5"/>
      <w:bookmarkEnd w:id="6"/>
    </w:p>
    <w:p w:rsidR="001B455A" w:rsidRPr="009E32B9" w:rsidRDefault="009E32B9" w:rsidP="002B4CB2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7" w:name="_Toc1844511785_WPSOffice_Level2"/>
      <w:bookmarkStart w:id="8" w:name="_Toc1004851532_WPSOffice_Level2"/>
      <w:bookmarkStart w:id="9" w:name="_Toc338604360_WPSOffice_Level2"/>
      <w:r>
        <w:rPr>
          <w:rFonts w:ascii="仿宋_GB2312" w:eastAsia="仿宋_GB2312" w:hAnsi="仿宋" w:hint="eastAsia"/>
          <w:sz w:val="32"/>
          <w:szCs w:val="32"/>
        </w:rPr>
        <w:t>内设：办公室、财务室、综合技术股（测绘室）、公共建设项目事务股、私人建设项目事务股、市政项目事务股、监督检查室。</w:t>
      </w:r>
    </w:p>
    <w:p w:rsidR="001B455A" w:rsidRPr="00A224A2" w:rsidRDefault="00A224A2" w:rsidP="002B4CB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="00986FEA" w:rsidRPr="00A224A2">
        <w:rPr>
          <w:rFonts w:ascii="仿宋_GB2312" w:eastAsia="仿宋_GB2312" w:hAnsi="仿宋_GB2312" w:cs="仿宋_GB2312" w:hint="eastAsia"/>
          <w:sz w:val="32"/>
          <w:szCs w:val="32"/>
        </w:rPr>
        <w:t>人员情况</w:t>
      </w:r>
      <w:bookmarkEnd w:id="7"/>
      <w:bookmarkEnd w:id="8"/>
      <w:bookmarkEnd w:id="9"/>
      <w:r w:rsidR="009E32B9" w:rsidRPr="00A224A2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包括当年变动情况及原因。</w:t>
      </w:r>
    </w:p>
    <w:p w:rsidR="009E32B9" w:rsidRDefault="009E32B9" w:rsidP="002B4CB2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2021年吉首市城市规划信息技术服务中心核定全额拨款事业编制55名（从原市城市规划管理局连人带编划转全额拨款事业编制43名），其中全额拨款事业周转编制10名。设主任1名，副主任2名。</w:t>
      </w:r>
      <w:r w:rsidR="00330A6C">
        <w:rPr>
          <w:rFonts w:ascii="仿宋_GB2312" w:eastAsia="仿宋_GB2312" w:hAnsi="宋体" w:hint="eastAsia"/>
          <w:sz w:val="32"/>
          <w:szCs w:val="32"/>
        </w:rPr>
        <w:t>2024</w:t>
      </w:r>
      <w:r w:rsidRPr="00640893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我中心</w:t>
      </w:r>
      <w:r w:rsidR="0045376C">
        <w:rPr>
          <w:rFonts w:ascii="仿宋_GB2312" w:eastAsia="仿宋_GB2312" w:hAnsi="宋体" w:hint="eastAsia"/>
          <w:sz w:val="32"/>
          <w:szCs w:val="32"/>
        </w:rPr>
        <w:t>更名为吉首市城乡规划事务中心，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核定全额拨款事业编制</w:t>
      </w:r>
      <w:r w:rsidR="00330A6C">
        <w:rPr>
          <w:rFonts w:ascii="仿宋_GB2312" w:eastAsia="仿宋_GB2312" w:hAnsi="仿宋" w:hint="eastAsia"/>
          <w:sz w:val="32"/>
          <w:szCs w:val="32"/>
        </w:rPr>
        <w:t>52</w:t>
      </w:r>
      <w:r>
        <w:rPr>
          <w:rFonts w:ascii="仿宋_GB2312" w:eastAsia="仿宋_GB2312" w:hAnsi="仿宋" w:hint="eastAsia"/>
          <w:sz w:val="32"/>
          <w:szCs w:val="32"/>
        </w:rPr>
        <w:t>名，</w:t>
      </w:r>
      <w:r w:rsidRPr="00640893">
        <w:rPr>
          <w:rFonts w:ascii="仿宋_GB2312" w:eastAsia="仿宋_GB2312" w:hAnsi="宋体" w:hint="eastAsia"/>
          <w:sz w:val="32"/>
          <w:szCs w:val="32"/>
        </w:rPr>
        <w:t>年末实有人数：财政全额拨款人员</w:t>
      </w:r>
      <w:r w:rsidR="00330A6C">
        <w:rPr>
          <w:rFonts w:ascii="仿宋_GB2312" w:eastAsia="仿宋_GB2312" w:hAnsi="宋体" w:hint="eastAsia"/>
          <w:sz w:val="32"/>
          <w:szCs w:val="32"/>
        </w:rPr>
        <w:t>48</w:t>
      </w:r>
      <w:r w:rsidRPr="00640893">
        <w:rPr>
          <w:rFonts w:ascii="仿宋_GB2312" w:eastAsia="仿宋_GB2312" w:hAnsi="宋体" w:hint="eastAsia"/>
          <w:sz w:val="32"/>
          <w:szCs w:val="32"/>
        </w:rPr>
        <w:t>人，规划展览馆公开召聘2人，长期聘用人员1人，退</w:t>
      </w:r>
      <w:r w:rsidRPr="00FF6DD3">
        <w:rPr>
          <w:rFonts w:ascii="仿宋_GB2312" w:eastAsia="仿宋_GB2312" w:hAnsi="宋体" w:hint="eastAsia"/>
          <w:sz w:val="32"/>
          <w:szCs w:val="32"/>
        </w:rPr>
        <w:t>休职工</w:t>
      </w:r>
      <w:r w:rsidR="00330A6C">
        <w:rPr>
          <w:rFonts w:ascii="仿宋_GB2312" w:eastAsia="仿宋_GB2312" w:hAnsi="宋体" w:hint="eastAsia"/>
          <w:sz w:val="32"/>
          <w:szCs w:val="32"/>
        </w:rPr>
        <w:t>17</w:t>
      </w:r>
      <w:r w:rsidRPr="00FF6DD3">
        <w:rPr>
          <w:rFonts w:ascii="仿宋_GB2312" w:eastAsia="仿宋_GB2312" w:hAnsi="宋体" w:hint="eastAsia"/>
          <w:sz w:val="32"/>
          <w:szCs w:val="32"/>
        </w:rPr>
        <w:t>人，职工遗属3人，共计</w:t>
      </w:r>
      <w:r w:rsidR="00330A6C">
        <w:rPr>
          <w:rFonts w:ascii="仿宋_GB2312" w:eastAsia="仿宋_GB2312" w:hAnsi="宋体" w:hint="eastAsia"/>
          <w:sz w:val="32"/>
          <w:szCs w:val="32"/>
        </w:rPr>
        <w:t>71</w:t>
      </w:r>
      <w:r w:rsidRPr="00FF6DD3">
        <w:rPr>
          <w:rFonts w:ascii="仿宋_GB2312" w:eastAsia="仿宋_GB2312" w:hAnsi="宋体" w:hint="eastAsia"/>
          <w:sz w:val="32"/>
          <w:szCs w:val="32"/>
        </w:rPr>
        <w:t>人。</w:t>
      </w:r>
    </w:p>
    <w:p w:rsidR="001B455A" w:rsidRDefault="00986FEA" w:rsidP="002B4CB2">
      <w:pPr>
        <w:spacing w:line="58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（二）部门（单位）年度整体支出绩效目标，</w:t>
      </w:r>
      <w:r>
        <w:rPr>
          <w:rFonts w:eastAsia="楷体_GB2312" w:hint="eastAsia"/>
          <w:b/>
          <w:bCs/>
          <w:sz w:val="32"/>
          <w:szCs w:val="32"/>
        </w:rPr>
        <w:t>市</w:t>
      </w:r>
      <w:r>
        <w:rPr>
          <w:rFonts w:eastAsia="楷体_GB2312"/>
          <w:b/>
          <w:bCs/>
          <w:sz w:val="32"/>
          <w:szCs w:val="32"/>
        </w:rPr>
        <w:t>级专项资金绩效目标、其他项目支出（除</w:t>
      </w:r>
      <w:r>
        <w:rPr>
          <w:rFonts w:eastAsia="楷体_GB2312" w:hint="eastAsia"/>
          <w:b/>
          <w:bCs/>
          <w:sz w:val="32"/>
          <w:szCs w:val="32"/>
        </w:rPr>
        <w:t>市</w:t>
      </w:r>
      <w:r>
        <w:rPr>
          <w:rFonts w:eastAsia="楷体_GB2312"/>
          <w:b/>
          <w:bCs/>
          <w:sz w:val="32"/>
          <w:szCs w:val="32"/>
        </w:rPr>
        <w:t>级专项资金以外）绩效</w:t>
      </w:r>
      <w:r>
        <w:rPr>
          <w:rFonts w:eastAsia="楷体_GB2312" w:hint="eastAsia"/>
          <w:b/>
          <w:bCs/>
          <w:sz w:val="32"/>
          <w:szCs w:val="32"/>
        </w:rPr>
        <w:t>目标</w:t>
      </w:r>
    </w:p>
    <w:p w:rsidR="001B455A" w:rsidRDefault="00986FEA" w:rsidP="002B4CB2">
      <w:pPr>
        <w:pStyle w:val="3"/>
        <w:keepNext w:val="0"/>
        <w:keepLines w:val="0"/>
        <w:spacing w:line="580" w:lineRule="exact"/>
        <w:ind w:firstLineChars="200" w:firstLine="643"/>
        <w:rPr>
          <w:rFonts w:hAnsi="仿宋_GB2312" w:cs="仿宋_GB2312"/>
          <w:szCs w:val="32"/>
        </w:rPr>
      </w:pPr>
      <w:bookmarkStart w:id="10" w:name="_Toc25411"/>
      <w:bookmarkStart w:id="11" w:name="_Toc912150041_WPSOffice_Level3"/>
      <w:bookmarkStart w:id="12" w:name="_Toc572173375_WPSOffice_Level3"/>
      <w:bookmarkStart w:id="13" w:name="_Toc613332353"/>
      <w:bookmarkStart w:id="14" w:name="_Toc22595"/>
      <w:bookmarkStart w:id="15" w:name="_Toc5791"/>
      <w:r>
        <w:rPr>
          <w:rFonts w:hAnsi="仿宋_GB2312" w:cs="仿宋_GB2312" w:hint="eastAsia"/>
          <w:szCs w:val="32"/>
        </w:rPr>
        <w:t>1. 部门</w:t>
      </w:r>
      <w:r w:rsidR="00FE0A72">
        <w:rPr>
          <w:rFonts w:hAnsi="仿宋_GB2312" w:cs="仿宋_GB2312" w:hint="eastAsia"/>
          <w:szCs w:val="32"/>
        </w:rPr>
        <w:t>年度整体支出</w:t>
      </w:r>
      <w:r>
        <w:rPr>
          <w:rFonts w:hAnsi="仿宋_GB2312" w:cs="仿宋_GB2312" w:hint="eastAsia"/>
          <w:szCs w:val="32"/>
        </w:rPr>
        <w:t>绩效总目标</w:t>
      </w:r>
      <w:bookmarkEnd w:id="10"/>
      <w:bookmarkEnd w:id="11"/>
      <w:bookmarkEnd w:id="12"/>
      <w:bookmarkEnd w:id="13"/>
      <w:bookmarkEnd w:id="14"/>
      <w:bookmarkEnd w:id="15"/>
    </w:p>
    <w:p w:rsidR="00FE0A72" w:rsidRPr="00FE0A72" w:rsidRDefault="00FE0A72" w:rsidP="002B4CB2">
      <w:pPr>
        <w:pStyle w:val="a0"/>
        <w:spacing w:line="580" w:lineRule="exact"/>
        <w:ind w:firstLine="640"/>
      </w:pPr>
      <w:r>
        <w:rPr>
          <w:rFonts w:hint="eastAsia"/>
        </w:rPr>
        <w:t>一是保障本单位</w:t>
      </w:r>
      <w:r w:rsidR="00C36500" w:rsidRPr="00C36500">
        <w:rPr>
          <w:rFonts w:ascii="仿宋_GB2312" w:hint="eastAsia"/>
        </w:rPr>
        <w:t>202</w:t>
      </w:r>
      <w:r w:rsidR="00330A6C">
        <w:rPr>
          <w:rFonts w:ascii="仿宋_GB2312" w:hint="eastAsia"/>
        </w:rPr>
        <w:t>4</w:t>
      </w:r>
      <w:r>
        <w:rPr>
          <w:rFonts w:hint="eastAsia"/>
        </w:rPr>
        <w:t>年日常工作正常有序的开展</w:t>
      </w:r>
      <w:r w:rsidR="00DF20B9">
        <w:rPr>
          <w:rFonts w:hint="eastAsia"/>
        </w:rPr>
        <w:t>；</w:t>
      </w:r>
      <w:r>
        <w:rPr>
          <w:rFonts w:hint="eastAsia"/>
        </w:rPr>
        <w:t>二是保障本单位职工</w:t>
      </w:r>
      <w:r w:rsidRPr="00FE0A72">
        <w:rPr>
          <w:rFonts w:ascii="仿宋_GB2312" w:hAnsi="宋体" w:cs="仿宋_GB2312" w:hint="eastAsia"/>
          <w:color w:val="000000"/>
          <w:kern w:val="0"/>
          <w:szCs w:val="32"/>
        </w:rPr>
        <w:t>职工</w:t>
      </w:r>
      <w:r w:rsidR="00330A6C">
        <w:rPr>
          <w:rFonts w:ascii="仿宋_GB2312" w:hAnsi="宋体" w:cs="仿宋_GB2312" w:hint="eastAsia"/>
          <w:color w:val="000000"/>
          <w:kern w:val="0"/>
          <w:szCs w:val="32"/>
        </w:rPr>
        <w:t>2024</w:t>
      </w:r>
      <w:r w:rsidRPr="00FE0A72">
        <w:rPr>
          <w:rFonts w:ascii="仿宋_GB2312" w:hAnsi="宋体" w:cs="仿宋_GB2312" w:hint="eastAsia"/>
          <w:color w:val="000000"/>
          <w:kern w:val="0"/>
          <w:szCs w:val="32"/>
        </w:rPr>
        <w:t>年人员经费及社保支出</w:t>
      </w:r>
      <w:r w:rsidR="00DF20B9">
        <w:rPr>
          <w:rFonts w:ascii="仿宋_GB2312" w:hAnsi="宋体" w:cs="仿宋_GB2312" w:hint="eastAsia"/>
          <w:color w:val="000000"/>
          <w:kern w:val="0"/>
          <w:szCs w:val="32"/>
        </w:rPr>
        <w:t>；</w:t>
      </w:r>
      <w:r w:rsidRPr="00FE0A72">
        <w:rPr>
          <w:rFonts w:ascii="仿宋_GB2312" w:hAnsi="宋体" w:cs="仿宋_GB2312" w:hint="eastAsia"/>
          <w:color w:val="000000"/>
          <w:kern w:val="0"/>
          <w:szCs w:val="32"/>
        </w:rPr>
        <w:t>三是保障</w:t>
      </w:r>
      <w:r w:rsidR="00330A6C">
        <w:rPr>
          <w:rFonts w:ascii="仿宋_GB2312" w:hAnsi="宋体" w:cs="仿宋_GB2312" w:hint="eastAsia"/>
          <w:color w:val="000000"/>
          <w:kern w:val="0"/>
          <w:szCs w:val="32"/>
        </w:rPr>
        <w:t>2024</w:t>
      </w:r>
      <w:r w:rsidRPr="00FE0A72">
        <w:rPr>
          <w:rFonts w:ascii="仿宋_GB2312" w:hAnsi="宋体" w:cs="仿宋_GB2312" w:hint="eastAsia"/>
          <w:color w:val="000000"/>
          <w:kern w:val="0"/>
          <w:szCs w:val="32"/>
        </w:rPr>
        <w:t>年规划技术事务工作正常有序的开展</w:t>
      </w:r>
      <w:r w:rsidR="00DF20B9">
        <w:rPr>
          <w:rFonts w:ascii="仿宋_GB2312" w:hAnsi="宋体" w:cs="仿宋_GB2312" w:hint="eastAsia"/>
          <w:color w:val="000000"/>
          <w:kern w:val="0"/>
          <w:szCs w:val="32"/>
        </w:rPr>
        <w:t>；</w:t>
      </w:r>
      <w:r w:rsidRPr="00FE0A72">
        <w:rPr>
          <w:rFonts w:ascii="仿宋_GB2312" w:hAnsi="宋体" w:cs="仿宋_GB2312" w:hint="eastAsia"/>
          <w:color w:val="000000"/>
          <w:kern w:val="0"/>
          <w:szCs w:val="32"/>
        </w:rPr>
        <w:t>四是保障</w:t>
      </w:r>
      <w:r w:rsidR="00330A6C">
        <w:rPr>
          <w:rFonts w:ascii="仿宋_GB2312" w:hAnsi="宋体" w:cs="仿宋_GB2312" w:hint="eastAsia"/>
          <w:color w:val="000000"/>
          <w:kern w:val="0"/>
          <w:szCs w:val="32"/>
        </w:rPr>
        <w:t>2024</w:t>
      </w:r>
      <w:r w:rsidRPr="00FE0A72">
        <w:rPr>
          <w:rFonts w:ascii="仿宋_GB2312" w:hAnsi="宋体" w:cs="仿宋_GB2312" w:hint="eastAsia"/>
          <w:color w:val="000000"/>
          <w:kern w:val="0"/>
          <w:szCs w:val="32"/>
        </w:rPr>
        <w:t>年规划展览馆日常运行</w:t>
      </w:r>
      <w:r w:rsidR="00DF20B9">
        <w:rPr>
          <w:rFonts w:ascii="仿宋_GB2312" w:hAnsi="宋体" w:cs="仿宋_GB2312" w:hint="eastAsia"/>
          <w:color w:val="000000"/>
          <w:kern w:val="0"/>
          <w:szCs w:val="32"/>
        </w:rPr>
        <w:t>；</w:t>
      </w:r>
      <w:r w:rsidRPr="00FE0A72">
        <w:rPr>
          <w:rFonts w:ascii="仿宋_GB2312" w:hAnsi="宋体" w:cs="仿宋_GB2312" w:hint="eastAsia"/>
          <w:color w:val="000000"/>
          <w:kern w:val="0"/>
          <w:szCs w:val="32"/>
        </w:rPr>
        <w:t>五是</w:t>
      </w:r>
      <w:r w:rsidR="00C36500" w:rsidRPr="00C36500">
        <w:rPr>
          <w:rStyle w:val="font61"/>
          <w:rFonts w:hAnsi="宋体" w:hint="default"/>
          <w:sz w:val="32"/>
          <w:szCs w:val="32"/>
        </w:rPr>
        <w:t>保障</w:t>
      </w:r>
      <w:r w:rsidR="00330A6C">
        <w:rPr>
          <w:rStyle w:val="font61"/>
          <w:rFonts w:hAnsi="宋体" w:hint="default"/>
          <w:sz w:val="32"/>
          <w:szCs w:val="32"/>
        </w:rPr>
        <w:t>2024</w:t>
      </w:r>
      <w:r w:rsidR="00C36500" w:rsidRPr="00C36500">
        <w:rPr>
          <w:rStyle w:val="font61"/>
          <w:rFonts w:hAnsi="宋体" w:hint="default"/>
          <w:sz w:val="32"/>
          <w:szCs w:val="32"/>
        </w:rPr>
        <w:t>年各项规划调研、基础资料收集、技术服务等工作的开展</w:t>
      </w:r>
      <w:r w:rsidR="00DF20B9">
        <w:rPr>
          <w:rStyle w:val="font61"/>
          <w:rFonts w:hAnsi="宋体" w:hint="default"/>
          <w:sz w:val="32"/>
          <w:szCs w:val="32"/>
        </w:rPr>
        <w:t>；</w:t>
      </w:r>
      <w:r w:rsidRPr="00FE0A72">
        <w:rPr>
          <w:rStyle w:val="font61"/>
          <w:rFonts w:hAnsi="宋体" w:hint="default"/>
          <w:sz w:val="32"/>
          <w:szCs w:val="32"/>
        </w:rPr>
        <w:t>六是</w:t>
      </w:r>
      <w:r w:rsidRPr="00FE0A72">
        <w:rPr>
          <w:rFonts w:ascii="仿宋_GB2312" w:hAnsi="宋体" w:hint="eastAsia"/>
          <w:color w:val="000000"/>
          <w:szCs w:val="32"/>
        </w:rPr>
        <w:t>完成市自然资源局交办的其他工作任务</w:t>
      </w:r>
      <w:r w:rsidRPr="00FE0A72">
        <w:rPr>
          <w:rFonts w:ascii="仿宋_GB2312" w:hAnsi="宋体" w:cs="仿宋_GB2312" w:hint="eastAsia"/>
          <w:color w:val="000000"/>
          <w:kern w:val="0"/>
          <w:szCs w:val="32"/>
        </w:rPr>
        <w:t>。</w:t>
      </w:r>
    </w:p>
    <w:p w:rsidR="001B455A" w:rsidRDefault="00FE0A72" w:rsidP="002B4CB2">
      <w:pPr>
        <w:numPr>
          <w:ilvl w:val="0"/>
          <w:numId w:val="1"/>
        </w:numPr>
        <w:spacing w:line="58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市级专项资金绩效目标</w:t>
      </w:r>
    </w:p>
    <w:p w:rsidR="00FE0A72" w:rsidRPr="00FE0A72" w:rsidRDefault="00FE0A72" w:rsidP="002B4CB2">
      <w:pPr>
        <w:pStyle w:val="a0"/>
        <w:spacing w:line="580" w:lineRule="exact"/>
        <w:ind w:firstLine="640"/>
      </w:pPr>
      <w:r>
        <w:rPr>
          <w:rFonts w:hint="eastAsia"/>
        </w:rPr>
        <w:t>一是保障本</w:t>
      </w:r>
      <w:r w:rsidR="006024DA">
        <w:rPr>
          <w:rFonts w:hint="eastAsia"/>
        </w:rPr>
        <w:t>年</w:t>
      </w:r>
      <w:r w:rsidR="00DF20B9">
        <w:rPr>
          <w:rFonts w:hint="eastAsia"/>
        </w:rPr>
        <w:t>规划技术事务</w:t>
      </w:r>
      <w:r>
        <w:rPr>
          <w:rFonts w:hint="eastAsia"/>
        </w:rPr>
        <w:t>工作正常有序的开展</w:t>
      </w:r>
      <w:r w:rsidR="00DF20B9">
        <w:rPr>
          <w:rFonts w:hint="eastAsia"/>
        </w:rPr>
        <w:t>，完成我中心规划项目审查、服务等事务；</w:t>
      </w:r>
      <w:r>
        <w:rPr>
          <w:rFonts w:hint="eastAsia"/>
        </w:rPr>
        <w:t>二是</w:t>
      </w:r>
      <w:r w:rsidR="00DF20B9" w:rsidRPr="00FE0A72">
        <w:rPr>
          <w:rFonts w:ascii="仿宋_GB2312" w:hAnsi="宋体" w:cs="仿宋_GB2312" w:hint="eastAsia"/>
          <w:color w:val="000000"/>
          <w:kern w:val="0"/>
          <w:szCs w:val="32"/>
        </w:rPr>
        <w:t>保障</w:t>
      </w:r>
      <w:r w:rsidR="00330A6C">
        <w:rPr>
          <w:rFonts w:ascii="仿宋_GB2312" w:hAnsi="宋体" w:cs="仿宋_GB2312" w:hint="eastAsia"/>
          <w:color w:val="000000"/>
          <w:kern w:val="0"/>
          <w:szCs w:val="32"/>
        </w:rPr>
        <w:t>2024</w:t>
      </w:r>
      <w:r w:rsidR="00DF20B9" w:rsidRPr="00FE0A72">
        <w:rPr>
          <w:rFonts w:ascii="仿宋_GB2312" w:hAnsi="宋体" w:cs="仿宋_GB2312" w:hint="eastAsia"/>
          <w:color w:val="000000"/>
          <w:kern w:val="0"/>
          <w:szCs w:val="32"/>
        </w:rPr>
        <w:t>年规划展览馆日常运行</w:t>
      </w:r>
      <w:r w:rsidR="00DF20B9">
        <w:rPr>
          <w:rFonts w:ascii="仿宋_GB2312" w:hAnsi="宋体" w:cs="仿宋_GB2312" w:hint="eastAsia"/>
          <w:color w:val="000000"/>
          <w:kern w:val="0"/>
          <w:szCs w:val="32"/>
        </w:rPr>
        <w:t>；三是</w:t>
      </w:r>
      <w:r w:rsidR="006024DA" w:rsidRPr="00C36500">
        <w:rPr>
          <w:rStyle w:val="font61"/>
          <w:rFonts w:hAnsi="宋体" w:hint="default"/>
          <w:sz w:val="32"/>
          <w:szCs w:val="32"/>
        </w:rPr>
        <w:t>保障</w:t>
      </w:r>
      <w:r w:rsidR="00330A6C">
        <w:rPr>
          <w:rStyle w:val="font61"/>
          <w:rFonts w:hAnsi="宋体" w:hint="default"/>
          <w:sz w:val="32"/>
          <w:szCs w:val="32"/>
        </w:rPr>
        <w:t>2024</w:t>
      </w:r>
      <w:r w:rsidR="006024DA" w:rsidRPr="00C36500">
        <w:rPr>
          <w:rStyle w:val="font61"/>
          <w:rFonts w:hAnsi="宋体" w:hint="default"/>
          <w:sz w:val="32"/>
          <w:szCs w:val="32"/>
        </w:rPr>
        <w:t>年各项规划调研、基础资料收集、技术服务等工作的开展</w:t>
      </w:r>
      <w:r w:rsidR="006024DA">
        <w:rPr>
          <w:rStyle w:val="font61"/>
          <w:rFonts w:hAnsi="宋体" w:hint="default"/>
          <w:sz w:val="32"/>
          <w:szCs w:val="32"/>
        </w:rPr>
        <w:t>；四是</w:t>
      </w:r>
      <w:r w:rsidR="00330A6C" w:rsidRPr="00330A6C">
        <w:rPr>
          <w:rStyle w:val="font61"/>
          <w:rFonts w:hAnsi="宋体" w:hint="default"/>
          <w:sz w:val="32"/>
          <w:szCs w:val="32"/>
        </w:rPr>
        <w:t>退回张顺才城市基础设施配套费</w:t>
      </w:r>
      <w:r w:rsidR="00DF20B9">
        <w:rPr>
          <w:rFonts w:hint="eastAsia"/>
        </w:rPr>
        <w:t>。</w:t>
      </w:r>
    </w:p>
    <w:p w:rsidR="001B455A" w:rsidRPr="00FE0A72" w:rsidRDefault="00FE0A72" w:rsidP="002B4CB2">
      <w:pPr>
        <w:widowControl/>
        <w:spacing w:line="580" w:lineRule="exact"/>
        <w:ind w:firstLineChars="200" w:firstLine="643"/>
        <w:jc w:val="left"/>
        <w:textAlignment w:val="top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FE0A7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="00DF20B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其他项目支出</w:t>
      </w:r>
      <w:r w:rsidR="00986FEA" w:rsidRPr="00FE0A72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绩效目标</w:t>
      </w:r>
    </w:p>
    <w:p w:rsidR="001B455A" w:rsidRDefault="00141934" w:rsidP="0014193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</w:t>
      </w:r>
      <w:r w:rsidRPr="00141934">
        <w:rPr>
          <w:rFonts w:ascii="仿宋_GB2312" w:eastAsia="仿宋_GB2312" w:hAnsi="仿宋_GB2312" w:cs="仿宋_GB2312" w:hint="eastAsia"/>
          <w:sz w:val="32"/>
          <w:szCs w:val="32"/>
        </w:rPr>
        <w:t>张吉怀铁路吉首站综合交通枢纽规划研究设计服务费合同尾款</w:t>
      </w:r>
      <w:r w:rsidR="00306584">
        <w:rPr>
          <w:rFonts w:ascii="仿宋_GB2312" w:eastAsia="仿宋_GB2312" w:hAnsi="仿宋_GB2312" w:cs="仿宋_GB2312" w:hint="eastAsia"/>
          <w:sz w:val="32"/>
          <w:szCs w:val="32"/>
        </w:rPr>
        <w:t>48.00万元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的支付</w:t>
      </w:r>
      <w:r w:rsidR="00897A2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B455A" w:rsidRDefault="00986FEA" w:rsidP="002B4CB2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二、一般公共预算支出情况</w:t>
      </w:r>
    </w:p>
    <w:p w:rsidR="001B455A" w:rsidRPr="00F21B53" w:rsidRDefault="00986FEA" w:rsidP="002B4CB2">
      <w:pPr>
        <w:spacing w:line="580" w:lineRule="exact"/>
        <w:ind w:firstLine="643"/>
        <w:rPr>
          <w:rFonts w:eastAsia="楷体_GB2312"/>
          <w:b/>
          <w:bCs/>
          <w:sz w:val="32"/>
          <w:szCs w:val="32"/>
        </w:rPr>
      </w:pPr>
      <w:r w:rsidRPr="00F21B53">
        <w:rPr>
          <w:rFonts w:eastAsia="楷体_GB2312"/>
          <w:b/>
          <w:bCs/>
          <w:sz w:val="32"/>
          <w:szCs w:val="32"/>
        </w:rPr>
        <w:t>（一）基本支出情</w:t>
      </w:r>
      <w:r w:rsidRPr="00F21B53">
        <w:rPr>
          <w:rFonts w:cs="宋体" w:hint="eastAsia"/>
          <w:b/>
          <w:bCs/>
          <w:sz w:val="32"/>
          <w:szCs w:val="32"/>
        </w:rPr>
        <w:t>况</w:t>
      </w:r>
    </w:p>
    <w:p w:rsidR="001B455A" w:rsidRDefault="00306584" w:rsidP="002B4CB2">
      <w:pPr>
        <w:spacing w:line="58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2811CE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F21B53">
        <w:rPr>
          <w:rFonts w:ascii="仿宋_GB2312" w:eastAsia="仿宋_GB2312" w:hAnsi="仿宋_GB2312" w:cs="仿宋_GB2312" w:hint="eastAsia"/>
          <w:sz w:val="32"/>
          <w:szCs w:val="32"/>
        </w:rPr>
        <w:t>度</w:t>
      </w:r>
      <w:r w:rsidR="002811CE">
        <w:rPr>
          <w:rFonts w:ascii="仿宋_GB2312" w:eastAsia="仿宋_GB2312" w:hAnsi="仿宋_GB2312" w:cs="仿宋_GB2312" w:hint="eastAsia"/>
          <w:sz w:val="32"/>
          <w:szCs w:val="32"/>
        </w:rPr>
        <w:t>一般公共预算财政拨款基本支出为</w:t>
      </w:r>
      <w:r w:rsidR="00141934">
        <w:rPr>
          <w:rFonts w:ascii="仿宋_GB2312" w:eastAsia="仿宋_GB2312" w:hAnsi="仿宋_GB2312" w:cs="仿宋_GB2312" w:hint="eastAsia"/>
          <w:sz w:val="32"/>
          <w:szCs w:val="32"/>
        </w:rPr>
        <w:t>758.50</w:t>
      </w:r>
      <w:r w:rsidR="002811CE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66220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分别为</w:t>
      </w:r>
      <w:r w:rsidR="002811CE">
        <w:rPr>
          <w:rFonts w:ascii="仿宋_GB2312" w:eastAsia="仿宋_GB2312" w:hAnsi="仿宋_GB2312" w:cs="仿宋_GB2312" w:hint="eastAsia"/>
          <w:sz w:val="32"/>
          <w:szCs w:val="32"/>
        </w:rPr>
        <w:t>：人员经费</w:t>
      </w:r>
      <w:r w:rsidR="00A3731F">
        <w:rPr>
          <w:rFonts w:ascii="仿宋_GB2312" w:eastAsia="仿宋_GB2312" w:hAnsi="仿宋_GB2312" w:cs="仿宋_GB2312" w:hint="eastAsia"/>
          <w:sz w:val="32"/>
          <w:szCs w:val="32"/>
        </w:rPr>
        <w:t>支出</w:t>
      </w:r>
      <w:r w:rsidR="00141934">
        <w:rPr>
          <w:rFonts w:ascii="仿宋_GB2312" w:eastAsia="仿宋_GB2312" w:hAnsi="仿宋_GB2312" w:cs="仿宋_GB2312" w:hint="eastAsia"/>
          <w:sz w:val="32"/>
          <w:szCs w:val="32"/>
        </w:rPr>
        <w:t>680.12</w:t>
      </w:r>
      <w:r w:rsidR="002811CE">
        <w:rPr>
          <w:rFonts w:ascii="仿宋_GB2312" w:eastAsia="仿宋_GB2312" w:hAnsi="仿宋_GB2312" w:cs="仿宋_GB2312" w:hint="eastAsia"/>
          <w:sz w:val="32"/>
          <w:szCs w:val="32"/>
        </w:rPr>
        <w:t>万元，公用经费</w:t>
      </w:r>
      <w:r w:rsidR="00A3731F">
        <w:rPr>
          <w:rFonts w:ascii="仿宋_GB2312" w:eastAsia="仿宋_GB2312" w:hAnsi="仿宋_GB2312" w:cs="仿宋_GB2312" w:hint="eastAsia"/>
          <w:sz w:val="32"/>
          <w:szCs w:val="32"/>
        </w:rPr>
        <w:t>支出</w:t>
      </w:r>
      <w:r w:rsidR="00141934">
        <w:rPr>
          <w:rFonts w:ascii="仿宋_GB2312" w:eastAsia="仿宋_GB2312" w:hAnsi="仿宋_GB2312" w:cs="仿宋_GB2312" w:hint="eastAsia"/>
          <w:sz w:val="32"/>
          <w:szCs w:val="32"/>
        </w:rPr>
        <w:t>78.38</w:t>
      </w:r>
      <w:r w:rsidR="002811CE"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r w:rsidR="00A3731F">
        <w:rPr>
          <w:rFonts w:ascii="仿宋_GB2312" w:eastAsia="仿宋_GB2312" w:hAnsi="仿宋_GB2312" w:cs="仿宋_GB2312" w:hint="eastAsia"/>
          <w:sz w:val="32"/>
          <w:szCs w:val="32"/>
        </w:rPr>
        <w:t>公用经费支出</w:t>
      </w:r>
      <w:r w:rsidR="00141934">
        <w:rPr>
          <w:rFonts w:ascii="仿宋_GB2312" w:eastAsia="仿宋_GB2312" w:hAnsi="仿宋_GB2312" w:cs="仿宋_GB2312" w:hint="eastAsia"/>
          <w:sz w:val="32"/>
          <w:szCs w:val="32"/>
        </w:rPr>
        <w:t>78.38</w:t>
      </w:r>
      <w:r w:rsidR="0045376C">
        <w:rPr>
          <w:rFonts w:ascii="仿宋_GB2312" w:eastAsia="仿宋_GB2312" w:hAnsi="仿宋_GB2312" w:cs="仿宋_GB2312" w:hint="eastAsia"/>
          <w:sz w:val="32"/>
          <w:szCs w:val="32"/>
        </w:rPr>
        <w:t>万元（包含非税收入弥补的</w:t>
      </w:r>
      <w:r w:rsidR="00A3731F">
        <w:rPr>
          <w:rFonts w:ascii="仿宋_GB2312" w:eastAsia="仿宋_GB2312" w:hAnsi="仿宋_GB2312" w:cs="仿宋_GB2312" w:hint="eastAsia"/>
          <w:sz w:val="32"/>
          <w:szCs w:val="32"/>
        </w:rPr>
        <w:t>公用支出</w:t>
      </w:r>
      <w:r w:rsidR="00141934">
        <w:rPr>
          <w:rFonts w:ascii="仿宋_GB2312" w:eastAsia="仿宋_GB2312" w:hAnsi="仿宋_GB2312" w:cs="仿宋_GB2312" w:hint="eastAsia"/>
          <w:sz w:val="32"/>
          <w:szCs w:val="32"/>
        </w:rPr>
        <w:t>10.55</w:t>
      </w:r>
      <w:r w:rsidR="0045376C">
        <w:rPr>
          <w:rFonts w:ascii="仿宋_GB2312" w:eastAsia="仿宋_GB2312" w:hAnsi="仿宋_GB2312" w:cs="仿宋_GB2312" w:hint="eastAsia"/>
          <w:sz w:val="32"/>
          <w:szCs w:val="32"/>
        </w:rPr>
        <w:t>万元）。非税收入弥补</w:t>
      </w:r>
      <w:r w:rsidR="00A3731F">
        <w:rPr>
          <w:rFonts w:ascii="仿宋_GB2312" w:eastAsia="仿宋_GB2312" w:hAnsi="仿宋_GB2312" w:cs="仿宋_GB2312" w:hint="eastAsia"/>
          <w:sz w:val="32"/>
          <w:szCs w:val="32"/>
        </w:rPr>
        <w:t>规划</w:t>
      </w:r>
      <w:r w:rsidR="0045376C">
        <w:rPr>
          <w:rFonts w:ascii="仿宋_GB2312" w:eastAsia="仿宋_GB2312" w:hAnsi="仿宋_GB2312" w:cs="仿宋_GB2312" w:hint="eastAsia"/>
          <w:sz w:val="32"/>
          <w:szCs w:val="32"/>
        </w:rPr>
        <w:t>技术事</w:t>
      </w:r>
      <w:r w:rsidR="00A3731F">
        <w:rPr>
          <w:rFonts w:ascii="仿宋_GB2312" w:eastAsia="仿宋_GB2312" w:hAnsi="仿宋_GB2312" w:cs="仿宋_GB2312" w:hint="eastAsia"/>
          <w:sz w:val="32"/>
          <w:szCs w:val="32"/>
        </w:rPr>
        <w:t>务</w:t>
      </w:r>
      <w:r w:rsidR="0045376C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A3731F">
        <w:rPr>
          <w:rFonts w:ascii="仿宋_GB2312" w:eastAsia="仿宋_GB2312" w:hAnsi="仿宋_GB2312" w:cs="仿宋_GB2312" w:hint="eastAsia"/>
          <w:sz w:val="32"/>
          <w:szCs w:val="32"/>
        </w:rPr>
        <w:t>日常</w:t>
      </w:r>
      <w:r w:rsidR="0045376C">
        <w:rPr>
          <w:rFonts w:ascii="仿宋_GB2312" w:eastAsia="仿宋_GB2312" w:hAnsi="仿宋_GB2312" w:cs="仿宋_GB2312" w:hint="eastAsia"/>
          <w:sz w:val="32"/>
          <w:szCs w:val="32"/>
        </w:rPr>
        <w:t>支出工作经费</w:t>
      </w:r>
      <w:r w:rsidR="00A3731F">
        <w:rPr>
          <w:rFonts w:ascii="仿宋_GB2312" w:eastAsia="仿宋_GB2312" w:hAnsi="仿宋_GB2312" w:cs="仿宋_GB2312" w:hint="eastAsia"/>
          <w:sz w:val="32"/>
          <w:szCs w:val="32"/>
        </w:rPr>
        <w:t>年初预算数为</w:t>
      </w:r>
      <w:r w:rsidR="00141934">
        <w:rPr>
          <w:rFonts w:ascii="仿宋_GB2312" w:eastAsia="仿宋_GB2312" w:hAnsi="仿宋_GB2312" w:cs="仿宋_GB2312" w:hint="eastAsia"/>
          <w:sz w:val="32"/>
          <w:szCs w:val="32"/>
        </w:rPr>
        <w:t>10.56</w:t>
      </w:r>
      <w:r w:rsidR="00A3731F">
        <w:rPr>
          <w:rFonts w:ascii="仿宋_GB2312" w:eastAsia="仿宋_GB2312" w:hAnsi="仿宋_GB2312" w:cs="仿宋_GB2312" w:hint="eastAsia"/>
          <w:sz w:val="32"/>
          <w:szCs w:val="32"/>
        </w:rPr>
        <w:t>万元，年末决算数为</w:t>
      </w:r>
      <w:r w:rsidR="00141934">
        <w:rPr>
          <w:rFonts w:ascii="仿宋_GB2312" w:eastAsia="仿宋_GB2312" w:hAnsi="仿宋_GB2312" w:cs="仿宋_GB2312" w:hint="eastAsia"/>
          <w:sz w:val="32"/>
          <w:szCs w:val="32"/>
        </w:rPr>
        <w:t>10.55</w:t>
      </w:r>
      <w:r w:rsidR="00A3731F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2811CE" w:rsidRPr="002811CE" w:rsidRDefault="002811CE" w:rsidP="002B4CB2">
      <w:pPr>
        <w:pStyle w:val="a0"/>
        <w:spacing w:line="580" w:lineRule="exact"/>
        <w:ind w:firstLine="640"/>
      </w:pPr>
      <w:r>
        <w:rPr>
          <w:rFonts w:hint="eastAsia"/>
        </w:rPr>
        <w:t>本年基本支出</w:t>
      </w:r>
      <w:r w:rsidR="00891009">
        <w:rPr>
          <w:rFonts w:hint="eastAsia"/>
        </w:rPr>
        <w:t>总</w:t>
      </w:r>
      <w:r w:rsidR="0066220F">
        <w:rPr>
          <w:rFonts w:hint="eastAsia"/>
        </w:rPr>
        <w:t>计为</w:t>
      </w:r>
      <w:r w:rsidR="00306584">
        <w:rPr>
          <w:rFonts w:hint="eastAsia"/>
        </w:rPr>
        <w:t>758.54</w:t>
      </w:r>
      <w:r w:rsidR="0066220F">
        <w:rPr>
          <w:rFonts w:hint="eastAsia"/>
        </w:rPr>
        <w:t>万元，分别为：一般公共预算财政拨款支出</w:t>
      </w:r>
      <w:r w:rsidR="00306584">
        <w:rPr>
          <w:rFonts w:hint="eastAsia"/>
        </w:rPr>
        <w:t>758.50</w:t>
      </w:r>
      <w:r w:rsidR="0066220F">
        <w:rPr>
          <w:rFonts w:hint="eastAsia"/>
        </w:rPr>
        <w:t>万元，其他资金其他支出</w:t>
      </w:r>
      <w:r w:rsidR="00306584">
        <w:rPr>
          <w:rFonts w:hint="eastAsia"/>
        </w:rPr>
        <w:t>0.04</w:t>
      </w:r>
      <w:r w:rsidR="0066220F">
        <w:rPr>
          <w:rFonts w:hint="eastAsia"/>
        </w:rPr>
        <w:t>万元。</w:t>
      </w:r>
    </w:p>
    <w:p w:rsidR="001B455A" w:rsidRDefault="00986FEA" w:rsidP="002B4CB2">
      <w:pPr>
        <w:spacing w:line="580" w:lineRule="exact"/>
        <w:ind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（二）项目支出情</w:t>
      </w:r>
      <w:r>
        <w:rPr>
          <w:rFonts w:cs="宋体" w:hint="eastAsia"/>
          <w:b/>
          <w:bCs/>
          <w:sz w:val="32"/>
          <w:szCs w:val="32"/>
        </w:rPr>
        <w:t>况</w:t>
      </w:r>
    </w:p>
    <w:p w:rsidR="00383F26" w:rsidRPr="00383F26" w:rsidRDefault="00306584" w:rsidP="00306584">
      <w:pPr>
        <w:spacing w:line="580" w:lineRule="exact"/>
        <w:ind w:firstLineChars="200" w:firstLine="640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2024</w:t>
      </w:r>
      <w:r w:rsidR="0066220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F21B5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度</w:t>
      </w:r>
      <w:r w:rsidR="0066220F">
        <w:rPr>
          <w:rFonts w:ascii="仿宋_GB2312" w:eastAsia="仿宋_GB2312" w:hAnsi="仿宋_GB2312" w:cs="仿宋_GB2312" w:hint="eastAsia"/>
          <w:sz w:val="32"/>
          <w:szCs w:val="32"/>
        </w:rPr>
        <w:t>一般公共预算财政拨款</w:t>
      </w: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  <w:r w:rsidR="0066220F">
        <w:rPr>
          <w:rFonts w:ascii="仿宋_GB2312" w:eastAsia="仿宋_GB2312" w:hAnsi="仿宋_GB2312" w:cs="仿宋_GB2312" w:hint="eastAsia"/>
          <w:sz w:val="32"/>
          <w:szCs w:val="32"/>
        </w:rPr>
        <w:t>项目支出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B455A" w:rsidRDefault="00986FEA" w:rsidP="002B4CB2">
      <w:pPr>
        <w:spacing w:line="58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三、政府性基金预算支出情况</w:t>
      </w:r>
    </w:p>
    <w:p w:rsidR="001B455A" w:rsidRDefault="00306584" w:rsidP="002B4CB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2024年度</w:t>
      </w:r>
      <w:r w:rsidR="002811CE">
        <w:rPr>
          <w:rFonts w:ascii="仿宋_GB2312" w:eastAsia="仿宋_GB2312" w:hAnsi="仿宋_GB2312" w:cs="仿宋_GB2312" w:hint="eastAsia"/>
          <w:sz w:val="32"/>
          <w:szCs w:val="32"/>
        </w:rPr>
        <w:t>政府性基金</w:t>
      </w:r>
      <w:r w:rsidR="00891009">
        <w:rPr>
          <w:rFonts w:ascii="仿宋_GB2312" w:eastAsia="仿宋_GB2312" w:hAnsi="仿宋_GB2312" w:cs="仿宋_GB2312" w:hint="eastAsia"/>
          <w:sz w:val="32"/>
          <w:szCs w:val="32"/>
        </w:rPr>
        <w:t>财政</w:t>
      </w:r>
      <w:r w:rsidR="002811CE">
        <w:rPr>
          <w:rFonts w:ascii="仿宋_GB2312" w:eastAsia="仿宋_GB2312" w:hAnsi="仿宋_GB2312" w:cs="仿宋_GB2312" w:hint="eastAsia"/>
          <w:sz w:val="32"/>
          <w:szCs w:val="32"/>
        </w:rPr>
        <w:t>拨款支出共计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128.43</w:t>
      </w:r>
      <w:r w:rsidR="002811CE">
        <w:rPr>
          <w:rFonts w:ascii="仿宋_GB2312" w:eastAsia="仿宋_GB2312" w:hAnsi="仿宋_GB2312" w:cs="仿宋_GB2312" w:hint="eastAsia"/>
          <w:sz w:val="32"/>
          <w:szCs w:val="32"/>
        </w:rPr>
        <w:t>万元，分别为：</w:t>
      </w:r>
      <w:r>
        <w:rPr>
          <w:rFonts w:ascii="仿宋_GB2312" w:eastAsia="仿宋_GB2312" w:hAnsi="仿宋_GB2312" w:cs="仿宋_GB2312" w:hint="eastAsia"/>
          <w:sz w:val="32"/>
          <w:szCs w:val="32"/>
        </w:rPr>
        <w:t>规划技术事务工作经费（规划项目审查、服务等事务）项目支出18.81万元，</w:t>
      </w:r>
      <w:r w:rsidR="00845C3E">
        <w:rPr>
          <w:rFonts w:ascii="仿宋_GB2312" w:eastAsia="仿宋_GB2312" w:hAnsi="仿宋_GB2312" w:cs="仿宋_GB2312" w:hint="eastAsia"/>
          <w:sz w:val="32"/>
          <w:szCs w:val="32"/>
        </w:rPr>
        <w:t>规划展览馆</w:t>
      </w:r>
      <w:r w:rsidR="002811CE">
        <w:rPr>
          <w:rFonts w:ascii="仿宋_GB2312" w:eastAsia="仿宋_GB2312" w:hAnsi="仿宋_GB2312" w:cs="仿宋_GB2312" w:hint="eastAsia"/>
          <w:sz w:val="32"/>
          <w:szCs w:val="32"/>
        </w:rPr>
        <w:t>日常运行</w:t>
      </w:r>
      <w:r w:rsidR="00891009">
        <w:rPr>
          <w:rFonts w:ascii="仿宋_GB2312" w:eastAsia="仿宋_GB2312" w:hAnsi="仿宋_GB2312" w:cs="仿宋_GB2312" w:hint="eastAsia"/>
          <w:sz w:val="32"/>
          <w:szCs w:val="32"/>
        </w:rPr>
        <w:t>项目支出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65.72</w:t>
      </w:r>
      <w:r w:rsidR="00986FEA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F14D4" w:rsidRPr="00C36500">
        <w:rPr>
          <w:rStyle w:val="font61"/>
          <w:rFonts w:hAnsi="宋体" w:hint="default"/>
          <w:sz w:val="32"/>
          <w:szCs w:val="32"/>
        </w:rPr>
        <w:t>各项规划调研、基础资料收集、技术服务等工作</w:t>
      </w:r>
      <w:r w:rsidR="00BF14D4">
        <w:rPr>
          <w:rStyle w:val="font61"/>
          <w:rFonts w:hAnsi="宋体" w:hint="default"/>
          <w:sz w:val="32"/>
          <w:szCs w:val="32"/>
        </w:rPr>
        <w:t>经费项目支出</w:t>
      </w:r>
      <w:r>
        <w:rPr>
          <w:rStyle w:val="font61"/>
          <w:rFonts w:hAnsi="宋体" w:hint="default"/>
          <w:sz w:val="32"/>
          <w:szCs w:val="32"/>
        </w:rPr>
        <w:t>38.12</w:t>
      </w:r>
      <w:r w:rsidR="00BF14D4">
        <w:rPr>
          <w:rStyle w:val="font61"/>
          <w:rFonts w:hAnsi="宋体" w:hint="default"/>
          <w:sz w:val="32"/>
          <w:szCs w:val="32"/>
        </w:rPr>
        <w:t>万元，</w:t>
      </w:r>
      <w:r w:rsidR="00BF14D4">
        <w:rPr>
          <w:rFonts w:ascii="仿宋_GB2312" w:eastAsia="仿宋_GB2312" w:hint="eastAsia"/>
          <w:sz w:val="32"/>
          <w:szCs w:val="32"/>
        </w:rPr>
        <w:t>退</w:t>
      </w:r>
      <w:r>
        <w:rPr>
          <w:rFonts w:ascii="仿宋_GB2312" w:eastAsia="仿宋_GB2312" w:hint="eastAsia"/>
          <w:sz w:val="32"/>
          <w:szCs w:val="32"/>
        </w:rPr>
        <w:t>回张顺才</w:t>
      </w:r>
      <w:r w:rsidR="00BF14D4">
        <w:rPr>
          <w:rFonts w:ascii="仿宋_GB2312" w:eastAsia="仿宋_GB2312" w:hint="eastAsia"/>
          <w:sz w:val="32"/>
          <w:szCs w:val="32"/>
        </w:rPr>
        <w:t>城市基础设施配套费</w:t>
      </w:r>
      <w:r>
        <w:rPr>
          <w:rFonts w:ascii="仿宋_GB2312" w:eastAsia="仿宋_GB2312" w:hint="eastAsia"/>
          <w:sz w:val="32"/>
          <w:szCs w:val="32"/>
        </w:rPr>
        <w:t>5.78</w:t>
      </w:r>
      <w:r w:rsidR="00BF14D4">
        <w:rPr>
          <w:rFonts w:ascii="仿宋_GB2312" w:eastAsia="仿宋_GB2312" w:hint="eastAsia"/>
          <w:sz w:val="32"/>
          <w:szCs w:val="32"/>
        </w:rPr>
        <w:t>万元</w:t>
      </w:r>
      <w:r w:rsidR="00986FE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B455A" w:rsidRDefault="00986FEA" w:rsidP="002B4CB2">
      <w:pPr>
        <w:spacing w:line="58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四、国有资本经营预算支出情况</w:t>
      </w:r>
    </w:p>
    <w:p w:rsidR="001B455A" w:rsidRDefault="00986FEA" w:rsidP="002B4CB2">
      <w:pPr>
        <w:spacing w:line="580" w:lineRule="exact"/>
        <w:ind w:firstLine="640"/>
        <w:rPr>
          <w:rFonts w:eastAsia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1B455A" w:rsidRDefault="00986FEA" w:rsidP="002B4CB2">
      <w:pPr>
        <w:spacing w:line="58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五、社会保险基金预算支出情况</w:t>
      </w:r>
    </w:p>
    <w:p w:rsidR="001B455A" w:rsidRDefault="00986FEA" w:rsidP="002B4CB2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1B455A" w:rsidRDefault="00986FEA" w:rsidP="002B4CB2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 w:rsidR="007B3549" w:rsidRDefault="00986FEA" w:rsidP="002B4CB2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F21B53">
        <w:rPr>
          <w:rFonts w:eastAsia="仿宋_GB2312" w:hint="eastAsia"/>
          <w:sz w:val="32"/>
          <w:szCs w:val="32"/>
        </w:rPr>
        <w:t>根据</w:t>
      </w:r>
      <w:r w:rsidR="007B3549">
        <w:rPr>
          <w:rFonts w:eastAsia="仿宋_GB2312" w:hint="eastAsia"/>
          <w:sz w:val="32"/>
          <w:szCs w:val="32"/>
        </w:rPr>
        <w:t>吉财绩函</w:t>
      </w:r>
      <w:r w:rsidR="00306584">
        <w:rPr>
          <w:rFonts w:eastAsia="仿宋_GB2312" w:hint="eastAsia"/>
          <w:sz w:val="32"/>
          <w:szCs w:val="32"/>
        </w:rPr>
        <w:t>[2025</w:t>
      </w:r>
      <w:r w:rsidR="00BF14D4">
        <w:rPr>
          <w:rFonts w:eastAsia="仿宋_GB2312" w:hint="eastAsia"/>
          <w:sz w:val="32"/>
          <w:szCs w:val="32"/>
        </w:rPr>
        <w:t>]</w:t>
      </w:r>
      <w:r w:rsidR="00306584">
        <w:rPr>
          <w:rFonts w:eastAsia="仿宋_GB2312" w:hint="eastAsia"/>
          <w:sz w:val="32"/>
          <w:szCs w:val="32"/>
        </w:rPr>
        <w:t>7</w:t>
      </w:r>
      <w:r w:rsidR="007B3549">
        <w:rPr>
          <w:rFonts w:eastAsia="仿宋_GB2312" w:hint="eastAsia"/>
          <w:sz w:val="32"/>
          <w:szCs w:val="32"/>
        </w:rPr>
        <w:t>号</w:t>
      </w:r>
      <w:r w:rsidRPr="00F21B53">
        <w:rPr>
          <w:rFonts w:eastAsia="仿宋_GB2312" w:hint="eastAsia"/>
          <w:sz w:val="32"/>
          <w:szCs w:val="32"/>
        </w:rPr>
        <w:t>《吉首</w:t>
      </w:r>
      <w:r>
        <w:rPr>
          <w:rFonts w:eastAsia="仿宋_GB2312" w:hint="eastAsia"/>
          <w:color w:val="000000"/>
          <w:sz w:val="32"/>
          <w:szCs w:val="32"/>
        </w:rPr>
        <w:t>市财政局关于开展</w:t>
      </w:r>
      <w:r w:rsidR="0045376C">
        <w:rPr>
          <w:rFonts w:eastAsia="仿宋_GB2312" w:hint="eastAsia"/>
          <w:color w:val="000000"/>
          <w:sz w:val="32"/>
          <w:szCs w:val="32"/>
        </w:rPr>
        <w:t>2024</w:t>
      </w:r>
      <w:r>
        <w:rPr>
          <w:rFonts w:eastAsia="仿宋_GB2312" w:hint="eastAsia"/>
          <w:color w:val="000000"/>
          <w:sz w:val="32"/>
          <w:szCs w:val="32"/>
        </w:rPr>
        <w:t>年度市直预算部门（单位）整体支出绩效自评工作的通知》等相关文件要求，参照部门整体支出绩效自评操作规程，本单位制定了部门整体支出绩效评价的工作方案、评价指标，成立了绩效评价工</w:t>
      </w:r>
      <w:r>
        <w:rPr>
          <w:rFonts w:eastAsia="仿宋_GB2312" w:hint="eastAsia"/>
          <w:color w:val="000000"/>
          <w:sz w:val="32"/>
          <w:szCs w:val="32"/>
        </w:rPr>
        <w:lastRenderedPageBreak/>
        <w:t>作小组</w:t>
      </w:r>
      <w:r w:rsidR="007B3549">
        <w:rPr>
          <w:rFonts w:eastAsia="仿宋_GB2312" w:hint="eastAsia"/>
          <w:color w:val="000000"/>
          <w:sz w:val="32"/>
          <w:szCs w:val="32"/>
        </w:rPr>
        <w:t>。</w:t>
      </w:r>
      <w:r>
        <w:rPr>
          <w:rFonts w:eastAsia="仿宋_GB2312" w:hint="eastAsia"/>
          <w:color w:val="000000"/>
          <w:sz w:val="32"/>
          <w:szCs w:val="32"/>
        </w:rPr>
        <w:t>绩效评价工作主要如下：</w:t>
      </w:r>
    </w:p>
    <w:p w:rsidR="007B3549" w:rsidRPr="001E58D0" w:rsidRDefault="007B3549" w:rsidP="002B4CB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1、部门整体</w:t>
      </w:r>
      <w:r>
        <w:rPr>
          <w:rFonts w:ascii="仿宋_GB2312" w:eastAsia="仿宋_GB2312"/>
          <w:sz w:val="32"/>
          <w:szCs w:val="32"/>
        </w:rPr>
        <w:t>支出决策情况。</w:t>
      </w:r>
      <w:r w:rsidRPr="001E58D0">
        <w:rPr>
          <w:rFonts w:ascii="仿宋_GB2312" w:eastAsia="仿宋_GB2312" w:hint="eastAsia"/>
          <w:sz w:val="32"/>
          <w:szCs w:val="32"/>
        </w:rPr>
        <w:t>为保障我中心单位履职的正常开展，</w:t>
      </w:r>
      <w:r w:rsidRPr="001E58D0">
        <w:rPr>
          <w:rFonts w:ascii="仿宋_GB2312" w:eastAsia="仿宋_GB2312" w:hAnsi="宋体" w:cs="仿宋" w:hint="eastAsia"/>
          <w:color w:val="000000"/>
          <w:sz w:val="32"/>
          <w:szCs w:val="32"/>
          <w:shd w:val="clear" w:color="auto" w:fill="FFFFFF"/>
        </w:rPr>
        <w:t>符合实际工作需要，符合国家法律法规及政策要求，项目决策依据充分。</w:t>
      </w:r>
      <w:r>
        <w:rPr>
          <w:rFonts w:ascii="仿宋_GB2312" w:eastAsia="仿宋_GB2312" w:hint="eastAsia"/>
          <w:sz w:val="32"/>
          <w:szCs w:val="32"/>
        </w:rPr>
        <w:t>强化全口径预算管理，统一预算分配。</w:t>
      </w:r>
    </w:p>
    <w:p w:rsidR="007B3549" w:rsidRPr="001E58D0" w:rsidRDefault="007B3549" w:rsidP="002B4CB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2、部门整体</w:t>
      </w:r>
      <w:r>
        <w:rPr>
          <w:rFonts w:ascii="仿宋_GB2312" w:eastAsia="仿宋_GB2312"/>
          <w:sz w:val="32"/>
          <w:szCs w:val="32"/>
        </w:rPr>
        <w:t>支出过程情况。</w:t>
      </w:r>
      <w:r w:rsidRPr="001E58D0">
        <w:rPr>
          <w:rFonts w:ascii="仿宋_GB2312" w:eastAsia="仿宋_GB2312" w:hAnsi="宋体" w:cs="仿宋" w:hint="eastAsia"/>
          <w:color w:val="000000"/>
          <w:sz w:val="32"/>
          <w:szCs w:val="32"/>
          <w:shd w:val="clear" w:color="auto" w:fill="FFFFFF"/>
        </w:rPr>
        <w:t>资金使用符合相关的财务管理制度规定，项目资金规范运行。资金使用符合国</w:t>
      </w:r>
      <w:r>
        <w:rPr>
          <w:rFonts w:ascii="仿宋_GB2312" w:eastAsia="仿宋_GB2312" w:hAnsi="宋体" w:cs="仿宋" w:hint="eastAsia"/>
          <w:color w:val="000000"/>
          <w:sz w:val="32"/>
          <w:szCs w:val="32"/>
          <w:shd w:val="clear" w:color="auto" w:fill="FFFFFF"/>
        </w:rPr>
        <w:t>家财经法规和财务管理制度以及有关专项资金管理办法的规定，</w:t>
      </w:r>
      <w:r w:rsidRPr="001E58D0">
        <w:rPr>
          <w:rFonts w:ascii="仿宋_GB2312" w:eastAsia="仿宋_GB2312" w:hAnsi="宋体" w:cs="仿宋" w:hint="eastAsia"/>
          <w:color w:val="000000"/>
          <w:sz w:val="32"/>
          <w:szCs w:val="32"/>
          <w:shd w:val="clear" w:color="auto" w:fill="FFFFFF"/>
        </w:rPr>
        <w:t>资金的拨付有完整的审批程序和手续。</w:t>
      </w:r>
    </w:p>
    <w:p w:rsidR="007B3549" w:rsidRPr="001E58D0" w:rsidRDefault="007B3549" w:rsidP="002B4CB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3、部门整体</w:t>
      </w:r>
      <w:r>
        <w:rPr>
          <w:rFonts w:ascii="仿宋_GB2312" w:eastAsia="仿宋_GB2312"/>
          <w:sz w:val="32"/>
          <w:szCs w:val="32"/>
        </w:rPr>
        <w:t>支出产出情况。</w:t>
      </w:r>
      <w:r w:rsidRPr="001E58D0">
        <w:rPr>
          <w:rFonts w:ascii="仿宋_GB2312" w:eastAsia="仿宋_GB2312" w:hAnsi="宋体" w:hint="eastAsia"/>
          <w:sz w:val="32"/>
          <w:szCs w:val="32"/>
        </w:rPr>
        <w:t>有效保障单位履职正常开展，较好的完成了</w:t>
      </w:r>
      <w:r w:rsidR="0011000F">
        <w:rPr>
          <w:rFonts w:ascii="仿宋_GB2312" w:eastAsia="仿宋_GB2312" w:hAnsi="宋体" w:hint="eastAsia"/>
          <w:sz w:val="32"/>
          <w:szCs w:val="32"/>
        </w:rPr>
        <w:t>2024</w:t>
      </w:r>
      <w:r w:rsidRPr="001E58D0">
        <w:rPr>
          <w:rFonts w:ascii="仿宋_GB2312" w:eastAsia="仿宋_GB2312" w:hAnsi="宋体" w:hint="eastAsia"/>
          <w:sz w:val="32"/>
          <w:szCs w:val="32"/>
        </w:rPr>
        <w:t>年我中心</w:t>
      </w:r>
      <w:r>
        <w:rPr>
          <w:rFonts w:ascii="仿宋_GB2312" w:eastAsia="仿宋_GB2312" w:hAnsi="宋体" w:hint="eastAsia"/>
          <w:sz w:val="32"/>
          <w:szCs w:val="32"/>
        </w:rPr>
        <w:t>工作任务</w:t>
      </w:r>
      <w:r w:rsidRPr="001E58D0">
        <w:rPr>
          <w:rFonts w:ascii="仿宋_GB2312" w:eastAsia="仿宋_GB2312" w:hAnsi="宋体" w:hint="eastAsia"/>
          <w:sz w:val="32"/>
          <w:szCs w:val="32"/>
        </w:rPr>
        <w:t>。</w:t>
      </w:r>
    </w:p>
    <w:p w:rsidR="007B3549" w:rsidRPr="001E58D0" w:rsidRDefault="007B3549" w:rsidP="002B4CB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4、部门整体</w:t>
      </w:r>
      <w:r>
        <w:rPr>
          <w:rFonts w:ascii="仿宋_GB2312" w:eastAsia="仿宋_GB2312"/>
          <w:sz w:val="32"/>
          <w:szCs w:val="32"/>
        </w:rPr>
        <w:t>支出效益情况。</w:t>
      </w:r>
      <w:r w:rsidRPr="001E58D0">
        <w:rPr>
          <w:rFonts w:ascii="仿宋_GB2312" w:eastAsia="仿宋_GB2312" w:hAnsi="宋体" w:hint="eastAsia"/>
          <w:sz w:val="32"/>
          <w:szCs w:val="32"/>
        </w:rPr>
        <w:t>有效保障单位履职正常开展，</w:t>
      </w:r>
      <w:r w:rsidRPr="001E58D0">
        <w:rPr>
          <w:rFonts w:ascii="仿宋_GB2312" w:eastAsia="仿宋_GB2312" w:hAnsi="宋体" w:cs="宋体" w:hint="eastAsia"/>
          <w:kern w:val="0"/>
          <w:sz w:val="32"/>
          <w:szCs w:val="32"/>
        </w:rPr>
        <w:t>职工满意度高。</w:t>
      </w:r>
    </w:p>
    <w:p w:rsidR="001B455A" w:rsidRDefault="00986FEA" w:rsidP="002B4CB2">
      <w:pPr>
        <w:spacing w:line="58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eastAsia="黑体"/>
          <w:sz w:val="32"/>
          <w:szCs w:val="32"/>
        </w:rPr>
        <w:t>七、</w:t>
      </w:r>
      <w:r>
        <w:rPr>
          <w:rFonts w:ascii="黑体" w:eastAsia="黑体" w:hAnsi="黑体" w:hint="eastAsia"/>
          <w:sz w:val="32"/>
          <w:szCs w:val="32"/>
        </w:rPr>
        <w:t>综合评价情况及评价结论</w:t>
      </w:r>
    </w:p>
    <w:p w:rsidR="00E7163D" w:rsidRPr="00860C09" w:rsidRDefault="00E7163D" w:rsidP="00E7163D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60C09">
        <w:rPr>
          <w:rFonts w:ascii="仿宋_GB2312" w:eastAsia="仿宋_GB2312" w:hAnsi="仿宋" w:cs="宋体" w:hint="eastAsia"/>
          <w:color w:val="010101"/>
          <w:kern w:val="0"/>
          <w:sz w:val="32"/>
          <w:szCs w:val="32"/>
        </w:rPr>
        <w:t>根据《吉首市财政局关于开展</w:t>
      </w:r>
      <w:r w:rsidR="0011000F">
        <w:rPr>
          <w:rFonts w:ascii="仿宋_GB2312" w:eastAsia="仿宋_GB2312" w:hAnsi="仿宋" w:cs="宋体" w:hint="eastAsia"/>
          <w:color w:val="010101"/>
          <w:kern w:val="0"/>
          <w:sz w:val="32"/>
          <w:szCs w:val="32"/>
        </w:rPr>
        <w:t xml:space="preserve"> 2024</w:t>
      </w:r>
      <w:r w:rsidRPr="00860C09">
        <w:rPr>
          <w:rFonts w:ascii="仿宋_GB2312" w:eastAsia="仿宋_GB2312" w:hAnsi="仿宋" w:cs="宋体" w:hint="eastAsia"/>
          <w:color w:val="010101"/>
          <w:kern w:val="0"/>
          <w:sz w:val="32"/>
          <w:szCs w:val="32"/>
        </w:rPr>
        <w:t xml:space="preserve"> 年度市直预算部门（单位）整体支出绩效自评工作的通知》（吉财绩函〔</w:t>
      </w:r>
      <w:r w:rsidR="0011000F">
        <w:rPr>
          <w:rFonts w:ascii="仿宋_GB2312" w:eastAsia="仿宋_GB2312" w:hAnsi="仿宋" w:cs="宋体" w:hint="eastAsia"/>
          <w:color w:val="010101"/>
          <w:kern w:val="0"/>
          <w:sz w:val="32"/>
          <w:szCs w:val="32"/>
        </w:rPr>
        <w:t>2025</w:t>
      </w:r>
      <w:r w:rsidRPr="00860C09">
        <w:rPr>
          <w:rFonts w:ascii="仿宋_GB2312" w:eastAsia="仿宋_GB2312" w:hAnsi="仿宋" w:cs="宋体" w:hint="eastAsia"/>
          <w:color w:val="010101"/>
          <w:kern w:val="0"/>
          <w:sz w:val="32"/>
          <w:szCs w:val="32"/>
        </w:rPr>
        <w:t>〕</w:t>
      </w:r>
      <w:r w:rsidR="0011000F">
        <w:rPr>
          <w:rFonts w:ascii="仿宋_GB2312" w:eastAsia="仿宋_GB2312" w:hAnsi="仿宋" w:cs="宋体" w:hint="eastAsia"/>
          <w:color w:val="010101"/>
          <w:kern w:val="0"/>
          <w:sz w:val="32"/>
          <w:szCs w:val="32"/>
        </w:rPr>
        <w:t>7</w:t>
      </w:r>
      <w:r w:rsidRPr="00860C09">
        <w:rPr>
          <w:rFonts w:ascii="仿宋_GB2312" w:eastAsia="仿宋_GB2312" w:hAnsi="仿宋" w:cs="宋体" w:hint="eastAsia"/>
          <w:color w:val="010101"/>
          <w:kern w:val="0"/>
          <w:sz w:val="32"/>
          <w:szCs w:val="32"/>
        </w:rPr>
        <w:t>号），成立了绩效评价工作领导小组，并依据通知组织开展本</w:t>
      </w:r>
      <w:r>
        <w:rPr>
          <w:rFonts w:ascii="仿宋_GB2312" w:eastAsia="仿宋_GB2312" w:hAnsi="仿宋" w:cs="宋体" w:hint="eastAsia"/>
          <w:color w:val="010101"/>
          <w:kern w:val="0"/>
          <w:sz w:val="32"/>
          <w:szCs w:val="32"/>
        </w:rPr>
        <w:t>中心</w:t>
      </w:r>
      <w:r w:rsidRPr="00860C09">
        <w:rPr>
          <w:rFonts w:ascii="仿宋_GB2312" w:eastAsia="仿宋_GB2312" w:hAnsi="仿宋" w:cs="宋体" w:hint="eastAsia"/>
          <w:color w:val="010101"/>
          <w:kern w:val="0"/>
          <w:sz w:val="32"/>
          <w:szCs w:val="32"/>
        </w:rPr>
        <w:t xml:space="preserve">绩效评价工作。评价小组采取座谈等方式听取情况，检查基本支出、项目支出有关账目，收集整理支出相关资料，并根据绩效自评材料进行分析，形成评价结论。 </w:t>
      </w:r>
    </w:p>
    <w:p w:rsidR="00E7163D" w:rsidRPr="00E7163D" w:rsidRDefault="00E7163D" w:rsidP="00E7163D">
      <w:pPr>
        <w:widowControl/>
        <w:spacing w:line="580" w:lineRule="exact"/>
        <w:ind w:firstLineChars="150" w:firstLine="480"/>
        <w:jc w:val="left"/>
        <w:rPr>
          <w:rFonts w:ascii="仿宋_GB2312" w:eastAsia="仿宋_GB2312" w:hAnsi="仿宋" w:cs="宋体"/>
          <w:color w:val="010101"/>
          <w:kern w:val="0"/>
          <w:sz w:val="32"/>
          <w:szCs w:val="32"/>
        </w:rPr>
      </w:pPr>
      <w:r w:rsidRPr="00860C09">
        <w:rPr>
          <w:rFonts w:ascii="仿宋_GB2312" w:eastAsia="仿宋_GB2312" w:hAnsi="仿宋" w:cs="宋体" w:hint="eastAsia"/>
          <w:color w:val="010101"/>
          <w:kern w:val="0"/>
          <w:sz w:val="32"/>
          <w:szCs w:val="32"/>
        </w:rPr>
        <w:t>根据《</w:t>
      </w:r>
      <w:r w:rsidR="0011000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2024</w:t>
      </w:r>
      <w:r w:rsidRPr="00860C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年度市级预算部门整体支出绩效自评工作考核评分</w:t>
      </w:r>
      <w:r w:rsidRPr="00860C09">
        <w:rPr>
          <w:rFonts w:ascii="仿宋_GB2312" w:eastAsia="仿宋_GB2312" w:hAnsi="仿宋" w:cs="宋体" w:hint="eastAsia"/>
          <w:color w:val="010101"/>
          <w:kern w:val="0"/>
          <w:sz w:val="32"/>
          <w:szCs w:val="32"/>
        </w:rPr>
        <w:t xml:space="preserve">》 </w:t>
      </w:r>
      <w:r w:rsidRPr="00E7163D">
        <w:rPr>
          <w:rFonts w:ascii="仿宋_GB2312" w:eastAsia="仿宋_GB2312" w:hAnsi="仿宋" w:cs="宋体" w:hint="eastAsia"/>
          <w:color w:val="010101"/>
          <w:kern w:val="0"/>
          <w:sz w:val="32"/>
          <w:szCs w:val="32"/>
        </w:rPr>
        <w:t>评分，得</w:t>
      </w:r>
      <w:r w:rsidRPr="00501316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分 </w:t>
      </w:r>
      <w:r w:rsidR="00026329"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="00A01FF1">
        <w:rPr>
          <w:rFonts w:ascii="仿宋_GB2312" w:eastAsia="仿宋_GB2312" w:hAnsi="仿宋" w:cs="宋体" w:hint="eastAsia"/>
          <w:kern w:val="0"/>
          <w:sz w:val="32"/>
          <w:szCs w:val="32"/>
        </w:rPr>
        <w:t>0</w:t>
      </w:r>
      <w:r w:rsidRPr="00501316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E7163D">
        <w:rPr>
          <w:rFonts w:ascii="仿宋_GB2312" w:eastAsia="仿宋_GB2312" w:hAnsi="仿宋" w:cs="宋体" w:hint="eastAsia"/>
          <w:color w:val="010101"/>
          <w:kern w:val="0"/>
          <w:sz w:val="32"/>
          <w:szCs w:val="32"/>
        </w:rPr>
        <w:t>分，财政支出绩效为“</w:t>
      </w:r>
      <w:r w:rsidR="00501316" w:rsidRPr="00501316">
        <w:rPr>
          <w:rFonts w:ascii="仿宋_GB2312" w:eastAsia="仿宋_GB2312" w:hAnsi="仿宋" w:cs="宋体" w:hint="eastAsia"/>
          <w:kern w:val="0"/>
          <w:sz w:val="32"/>
          <w:szCs w:val="32"/>
        </w:rPr>
        <w:t>优</w:t>
      </w:r>
      <w:r w:rsidRPr="00E7163D">
        <w:rPr>
          <w:rFonts w:ascii="仿宋_GB2312" w:eastAsia="仿宋_GB2312" w:hAnsi="仿宋" w:cs="宋体" w:hint="eastAsia"/>
          <w:color w:val="010101"/>
          <w:kern w:val="0"/>
          <w:sz w:val="32"/>
          <w:szCs w:val="32"/>
        </w:rPr>
        <w:t>”。</w:t>
      </w:r>
    </w:p>
    <w:p w:rsidR="001B455A" w:rsidRPr="009E718E" w:rsidRDefault="00986FEA" w:rsidP="002B4CB2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、主要经验做法、存在的问题及原因分析</w:t>
      </w:r>
    </w:p>
    <w:p w:rsidR="001B455A" w:rsidRDefault="00986FEA" w:rsidP="002B4CB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通过对本单位整体支出绩效自评，我们</w:t>
      </w:r>
      <w:r>
        <w:rPr>
          <w:rFonts w:ascii="仿宋_GB2312" w:eastAsia="仿宋_GB2312" w:hint="eastAsia"/>
          <w:sz w:val="32"/>
          <w:szCs w:val="32"/>
        </w:rPr>
        <w:t>认识到推进预算绩效</w:t>
      </w:r>
      <w:r>
        <w:rPr>
          <w:rFonts w:ascii="仿宋_GB2312" w:eastAsia="仿宋_GB2312" w:hint="eastAsia"/>
          <w:sz w:val="32"/>
          <w:szCs w:val="32"/>
        </w:rPr>
        <w:lastRenderedPageBreak/>
        <w:t>管理的重要意义：全面推进预算绩效管理，是财政科学化、精细化管理需要</w:t>
      </w:r>
      <w:r w:rsidR="00E7163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部门预算应当遵循统筹兼顾、勤俭节约、量力而行、讲求绩效和收支平衡的原则。在抓好财政支出工作的同时，要更加注重产出及效率，力求</w:t>
      </w:r>
      <w:r>
        <w:rPr>
          <w:rFonts w:ascii="仿宋_GB2312" w:eastAsia="仿宋_GB2312" w:hint="eastAsia"/>
          <w:sz w:val="32"/>
          <w:szCs w:val="32"/>
        </w:rPr>
        <w:t>优化资源配置、控制成本、提高公共产品质量和公共服务水平的目的。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在今后的工作中，</w:t>
      </w:r>
      <w:r w:rsidR="00E7163D">
        <w:rPr>
          <w:rFonts w:ascii="仿宋_GB2312" w:eastAsia="仿宋_GB2312" w:hint="eastAsia"/>
          <w:bCs/>
          <w:color w:val="000000"/>
          <w:sz w:val="32"/>
          <w:szCs w:val="32"/>
        </w:rPr>
        <w:t>要强化绩效管理考核，将绩效考核目标任务层层分解落实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，对</w:t>
      </w:r>
      <w:r>
        <w:rPr>
          <w:rFonts w:ascii="仿宋_GB2312" w:eastAsia="仿宋_GB2312" w:hint="eastAsia"/>
          <w:sz w:val="32"/>
          <w:szCs w:val="32"/>
          <w:lang w:val="zh-CN"/>
        </w:rPr>
        <w:t>重点工作加强日常监管，开展专项督查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建立健全绩效问责机制，充分体现财政资金使用主体责任，形成“谁干事谁花钱，谁花钱谁担责”的权责机制，</w:t>
      </w:r>
      <w:r>
        <w:rPr>
          <w:rFonts w:ascii="仿宋_GB2312" w:eastAsia="仿宋_GB2312" w:hint="eastAsia"/>
          <w:sz w:val="32"/>
          <w:szCs w:val="32"/>
          <w:lang w:val="zh-CN"/>
        </w:rPr>
        <w:t>才能确保各项绩效考核指标保质保量完成。</w:t>
      </w:r>
    </w:p>
    <w:p w:rsidR="001B455A" w:rsidRPr="009E718E" w:rsidRDefault="009E718E" w:rsidP="002B4CB2">
      <w:pPr>
        <w:pStyle w:val="a0"/>
        <w:spacing w:line="580" w:lineRule="exact"/>
        <w:ind w:firstLine="640"/>
        <w:rPr>
          <w:rFonts w:ascii="仿宋_GB2312" w:hAnsi="宋体" w:cs="仿宋"/>
          <w:color w:val="333333"/>
          <w:szCs w:val="32"/>
          <w:shd w:val="clear" w:color="auto" w:fill="FFFFFF"/>
        </w:rPr>
      </w:pPr>
      <w:r w:rsidRPr="001E58D0">
        <w:rPr>
          <w:rFonts w:ascii="仿宋_GB2312" w:hAnsi="宋体" w:cs="仿宋" w:hint="eastAsia"/>
          <w:color w:val="333333"/>
          <w:szCs w:val="32"/>
          <w:shd w:val="clear" w:color="auto" w:fill="FFFFFF"/>
        </w:rPr>
        <w:t>存在的问题及原因分析：绩效管理人员缺乏专业知识，也缺少培训机</w:t>
      </w:r>
      <w:r w:rsidR="00E7163D">
        <w:rPr>
          <w:rFonts w:ascii="仿宋_GB2312" w:hAnsi="宋体" w:cs="仿宋" w:hint="eastAsia"/>
          <w:color w:val="333333"/>
          <w:szCs w:val="32"/>
          <w:shd w:val="clear" w:color="auto" w:fill="FFFFFF"/>
        </w:rPr>
        <w:t>会，容易在绩效管理工作中管理不到位，对现行的预算绩效管理不适应，</w:t>
      </w:r>
      <w:r w:rsidRPr="001E58D0">
        <w:rPr>
          <w:rFonts w:ascii="仿宋_GB2312" w:hAnsi="宋体" w:cs="仿宋" w:hint="eastAsia"/>
          <w:color w:val="333333"/>
          <w:szCs w:val="32"/>
          <w:shd w:val="clear" w:color="auto" w:fill="FFFFFF"/>
        </w:rPr>
        <w:t>部门预算编制的科学化、精细化、精准化还有待提高。</w:t>
      </w:r>
      <w:r w:rsidR="00986FEA">
        <w:rPr>
          <w:rFonts w:ascii="仿宋_GB2312" w:hAnsi="仿宋_GB2312" w:cs="仿宋_GB2312" w:hint="eastAsia"/>
          <w:szCs w:val="32"/>
        </w:rPr>
        <w:t>通过向本单位职工、社会公众及服务对象发放调查了解，本单位工作的满意度还有待进一步提高。</w:t>
      </w:r>
    </w:p>
    <w:p w:rsidR="001B455A" w:rsidRDefault="00986FEA" w:rsidP="002B4CB2">
      <w:pPr>
        <w:adjustRightInd w:val="0"/>
        <w:snapToGrid w:val="0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九</w:t>
      </w:r>
      <w:r>
        <w:rPr>
          <w:rFonts w:eastAsia="黑体"/>
          <w:sz w:val="32"/>
          <w:szCs w:val="32"/>
        </w:rPr>
        <w:t>、有关建议</w:t>
      </w:r>
    </w:p>
    <w:p w:rsidR="001B455A" w:rsidRPr="00F571F1" w:rsidRDefault="00986FEA" w:rsidP="002B4CB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建议加强政策学习，提高思想认识。组织单位人员认真学习《预算法》等相关法规、制度，提高单位领导对全面预算管理的重视程度，增强财务人员的预算意识，坚持先有预算、后有支出，没有预算不得支出的支出理念。建议细化预算指标，提高预算科学性。预算编制前根据年度内单位可预见的工作任务，确定单位年度预算目标，细化预算指标，科学合理编制部门预算，推进预算编制科学化、准确化。年度预算编制后，根据实际情况，定期做好预算执行分析，掌握预算执行进度，及时找出预算实际执行</w:t>
      </w:r>
      <w:r>
        <w:rPr>
          <w:rFonts w:ascii="仿宋_GB2312" w:eastAsia="仿宋_GB2312" w:hint="eastAsia"/>
          <w:sz w:val="32"/>
          <w:szCs w:val="32"/>
          <w:lang w:val="zh-CN"/>
        </w:rPr>
        <w:lastRenderedPageBreak/>
        <w:t>情况与预算目标之间存在的差距，纠正偏差，为下一次科学、准确地编制部门预算积累经验。</w:t>
      </w:r>
    </w:p>
    <w:p w:rsidR="001B455A" w:rsidRDefault="00986FEA" w:rsidP="002B4CB2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</w:t>
      </w:r>
      <w:r>
        <w:rPr>
          <w:rFonts w:eastAsia="黑体"/>
          <w:sz w:val="32"/>
          <w:szCs w:val="32"/>
        </w:rPr>
        <w:t>、绩效自评结果拟应用和公开情况</w:t>
      </w:r>
    </w:p>
    <w:p w:rsidR="00E7163D" w:rsidRPr="00E7163D" w:rsidRDefault="00E7163D" w:rsidP="00E7163D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24"/>
        </w:rPr>
      </w:pPr>
      <w:r w:rsidRPr="00860C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通过绩效评价，我单位进一步掌握了项目经费使用情况和取得的效果，总结了项目资金管理经验，为下一年提高项目资金的使用效益，加强财政支出的规范管理、健全、完善支出项目和资金使用管理办法、完善预算编制和加强绩效目标管理等</w:t>
      </w:r>
      <w:r w:rsidRPr="00E7163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工作提供重要的参考依据。</w:t>
      </w:r>
    </w:p>
    <w:p w:rsidR="00E7163D" w:rsidRPr="00E7163D" w:rsidRDefault="00E7163D" w:rsidP="00E7163D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7163D">
        <w:rPr>
          <w:rFonts w:ascii="仿宋_GB2312" w:eastAsia="仿宋_GB2312" w:hAnsi="宋体" w:hint="eastAsia"/>
          <w:sz w:val="32"/>
          <w:szCs w:val="32"/>
        </w:rPr>
        <w:t>我中心</w:t>
      </w:r>
      <w:r w:rsidRPr="00E7163D">
        <w:rPr>
          <w:rFonts w:ascii="仿宋_GB2312" w:eastAsia="仿宋_GB2312" w:hint="eastAsia"/>
          <w:sz w:val="32"/>
          <w:szCs w:val="32"/>
        </w:rPr>
        <w:t>为</w:t>
      </w:r>
      <w:r w:rsidR="00A01FF1">
        <w:rPr>
          <w:rFonts w:ascii="仿宋_GB2312" w:eastAsia="仿宋_GB2312" w:hint="eastAsia"/>
          <w:sz w:val="32"/>
          <w:szCs w:val="32"/>
        </w:rPr>
        <w:t>吉首</w:t>
      </w:r>
      <w:r w:rsidRPr="00E7163D">
        <w:rPr>
          <w:rFonts w:ascii="仿宋_GB2312" w:eastAsia="仿宋_GB2312" w:hint="eastAsia"/>
          <w:sz w:val="32"/>
          <w:szCs w:val="32"/>
        </w:rPr>
        <w:t>市自然资源局所属正科级公益一类事业单位</w:t>
      </w:r>
      <w:r w:rsidRPr="00E7163D">
        <w:rPr>
          <w:rFonts w:ascii="仿宋_GB2312" w:eastAsia="仿宋_GB2312" w:hAnsi="宋体" w:hint="eastAsia"/>
          <w:sz w:val="32"/>
          <w:szCs w:val="32"/>
        </w:rPr>
        <w:t>，</w:t>
      </w:r>
      <w:r w:rsidRPr="00E7163D">
        <w:rPr>
          <w:rFonts w:ascii="仿宋_GB2312" w:eastAsia="仿宋_GB2312" w:hAnsi="宋体" w:hint="eastAsia"/>
          <w:color w:val="000000"/>
          <w:sz w:val="32"/>
          <w:szCs w:val="32"/>
        </w:rPr>
        <w:t>由一级主管单位汇总后统一进行公开。</w:t>
      </w:r>
    </w:p>
    <w:p w:rsidR="001B455A" w:rsidRDefault="00986FEA" w:rsidP="002B4CB2">
      <w:pPr>
        <w:adjustRightInd w:val="0"/>
        <w:snapToGrid w:val="0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十一</w:t>
      </w:r>
      <w:r>
        <w:rPr>
          <w:rFonts w:eastAsia="黑体"/>
          <w:sz w:val="32"/>
          <w:szCs w:val="32"/>
        </w:rPr>
        <w:t>、其他需要说明的问题</w:t>
      </w:r>
    </w:p>
    <w:p w:rsidR="002B4CB2" w:rsidRPr="00501316" w:rsidRDefault="00F571F1" w:rsidP="00501316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无</w:t>
      </w:r>
      <w:r w:rsidR="00CE6156">
        <w:rPr>
          <w:rFonts w:eastAsia="仿宋_GB2312" w:hint="eastAsia"/>
          <w:color w:val="000000"/>
          <w:sz w:val="32"/>
          <w:szCs w:val="32"/>
        </w:rPr>
        <w:t>其他需要说明的问题</w:t>
      </w:r>
      <w:r w:rsidR="00C81068">
        <w:rPr>
          <w:rFonts w:eastAsia="仿宋_GB2312" w:hint="eastAsia"/>
          <w:color w:val="000000"/>
          <w:sz w:val="32"/>
          <w:szCs w:val="32"/>
        </w:rPr>
        <w:t>。</w:t>
      </w:r>
    </w:p>
    <w:sectPr w:rsidR="002B4CB2" w:rsidRPr="00501316" w:rsidSect="001B4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8" w:right="1531" w:bottom="1985" w:left="1531" w:header="851" w:footer="1701" w:gutter="0"/>
      <w:pgNumType w:fmt="numberInDash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E6" w:rsidRDefault="007B4CE6" w:rsidP="001B455A">
      <w:r>
        <w:separator/>
      </w:r>
    </w:p>
  </w:endnote>
  <w:endnote w:type="continuationSeparator" w:id="1">
    <w:p w:rsidR="007B4CE6" w:rsidRDefault="007B4CE6" w:rsidP="001B4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9F" w:rsidRDefault="00C65AA0">
    <w:pPr>
      <w:pStyle w:val="a8"/>
      <w:framePr w:wrap="around" w:vAnchor="text" w:hAnchor="margin" w:xAlign="outside" w:y="1"/>
      <w:rPr>
        <w:rStyle w:val="ac"/>
      </w:rPr>
    </w:pPr>
    <w:r>
      <w:fldChar w:fldCharType="begin"/>
    </w:r>
    <w:r w:rsidR="0080629F">
      <w:rPr>
        <w:rStyle w:val="ac"/>
      </w:rPr>
      <w:instrText xml:space="preserve">PAGE  </w:instrText>
    </w:r>
    <w:r>
      <w:fldChar w:fldCharType="end"/>
    </w:r>
  </w:p>
  <w:p w:rsidR="0080629F" w:rsidRDefault="0080629F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9F" w:rsidRDefault="00C65AA0">
    <w:pPr>
      <w:pStyle w:val="a8"/>
      <w:framePr w:wrap="around" w:vAnchor="text" w:hAnchor="margin" w:xAlign="outside" w:y="1"/>
      <w:rPr>
        <w:rStyle w:val="ac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80629F"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4B2A8A">
      <w:rPr>
        <w:rStyle w:val="ac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80629F" w:rsidRDefault="0080629F">
    <w:pPr>
      <w:pStyle w:val="a8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8A" w:rsidRDefault="004B2A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E6" w:rsidRDefault="007B4CE6" w:rsidP="001B455A">
      <w:r>
        <w:separator/>
      </w:r>
    </w:p>
  </w:footnote>
  <w:footnote w:type="continuationSeparator" w:id="1">
    <w:p w:rsidR="007B4CE6" w:rsidRDefault="007B4CE6" w:rsidP="001B4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8A" w:rsidRDefault="004B2A8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9F" w:rsidRDefault="0080629F" w:rsidP="0045376C">
    <w:pPr>
      <w:pStyle w:val="a9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9F" w:rsidRDefault="0080629F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BCBF82"/>
    <w:multiLevelType w:val="singleLevel"/>
    <w:tmpl w:val="CEBCBF82"/>
    <w:lvl w:ilvl="0">
      <w:start w:val="1"/>
      <w:numFmt w:val="decimal"/>
      <w:suff w:val="nothing"/>
      <w:lvlText w:val="（%1）"/>
      <w:lvlJc w:val="left"/>
    </w:lvl>
  </w:abstractNum>
  <w:abstractNum w:abstractNumId="1">
    <w:nsid w:val="DA97BFDB"/>
    <w:multiLevelType w:val="singleLevel"/>
    <w:tmpl w:val="DA97BFDB"/>
    <w:lvl w:ilvl="0">
      <w:start w:val="2"/>
      <w:numFmt w:val="decimal"/>
      <w:suff w:val="space"/>
      <w:lvlText w:val="%1."/>
      <w:lvlJc w:val="left"/>
    </w:lvl>
  </w:abstractNum>
  <w:abstractNum w:abstractNumId="2">
    <w:nsid w:val="03D89E30"/>
    <w:multiLevelType w:val="multilevel"/>
    <w:tmpl w:val="03D89E30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5579469B"/>
    <w:multiLevelType w:val="singleLevel"/>
    <w:tmpl w:val="5579469B"/>
    <w:lvl w:ilvl="0">
      <w:start w:val="1"/>
      <w:numFmt w:val="decimal"/>
      <w:suff w:val="nothing"/>
      <w:lvlText w:val="（%1）"/>
      <w:lvlJc w:val="left"/>
      <w:pPr>
        <w:ind w:left="-10"/>
      </w:pPr>
    </w:lvl>
  </w:abstractNum>
  <w:abstractNum w:abstractNumId="4">
    <w:nsid w:val="5F5B64F0"/>
    <w:multiLevelType w:val="hybridMultilevel"/>
    <w:tmpl w:val="FB3CEE18"/>
    <w:lvl w:ilvl="0" w:tplc="388A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19"/>
  <w:drawingGridVerticalSpacing w:val="156"/>
  <w:noPunctuationKerning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EyY2E3ZDAwN2RiZmYzM2I2YTQzMWU5YzQ0NGU2ZWUifQ=="/>
  </w:docVars>
  <w:rsids>
    <w:rsidRoot w:val="00256ABC"/>
    <w:rsid w:val="00002BC4"/>
    <w:rsid w:val="00026329"/>
    <w:rsid w:val="00036B00"/>
    <w:rsid w:val="00084F2E"/>
    <w:rsid w:val="000E21A6"/>
    <w:rsid w:val="000F3B37"/>
    <w:rsid w:val="000F5F11"/>
    <w:rsid w:val="001053C1"/>
    <w:rsid w:val="001056FB"/>
    <w:rsid w:val="0011000F"/>
    <w:rsid w:val="00111A0D"/>
    <w:rsid w:val="00141934"/>
    <w:rsid w:val="00151D06"/>
    <w:rsid w:val="001635BD"/>
    <w:rsid w:val="001B1C1F"/>
    <w:rsid w:val="001B455A"/>
    <w:rsid w:val="001C740A"/>
    <w:rsid w:val="002020BF"/>
    <w:rsid w:val="002021CE"/>
    <w:rsid w:val="0020353A"/>
    <w:rsid w:val="00232113"/>
    <w:rsid w:val="00233063"/>
    <w:rsid w:val="0024355B"/>
    <w:rsid w:val="00256ABC"/>
    <w:rsid w:val="00276E9A"/>
    <w:rsid w:val="002811CE"/>
    <w:rsid w:val="002B4CB2"/>
    <w:rsid w:val="002C635D"/>
    <w:rsid w:val="00306584"/>
    <w:rsid w:val="00330A6C"/>
    <w:rsid w:val="003463C5"/>
    <w:rsid w:val="0035056E"/>
    <w:rsid w:val="00364ECE"/>
    <w:rsid w:val="00383861"/>
    <w:rsid w:val="00383F26"/>
    <w:rsid w:val="003A34F1"/>
    <w:rsid w:val="003F08EC"/>
    <w:rsid w:val="003F2057"/>
    <w:rsid w:val="0045376C"/>
    <w:rsid w:val="004A2B75"/>
    <w:rsid w:val="004B2A8A"/>
    <w:rsid w:val="004C5EE6"/>
    <w:rsid w:val="004F2AE2"/>
    <w:rsid w:val="00501316"/>
    <w:rsid w:val="005461BA"/>
    <w:rsid w:val="00551486"/>
    <w:rsid w:val="00570ECE"/>
    <w:rsid w:val="005A4D5C"/>
    <w:rsid w:val="005C76DB"/>
    <w:rsid w:val="005D66C2"/>
    <w:rsid w:val="006024DA"/>
    <w:rsid w:val="006245C1"/>
    <w:rsid w:val="0066220F"/>
    <w:rsid w:val="00680DAA"/>
    <w:rsid w:val="00693134"/>
    <w:rsid w:val="00693538"/>
    <w:rsid w:val="006944AF"/>
    <w:rsid w:val="006F4932"/>
    <w:rsid w:val="00711955"/>
    <w:rsid w:val="00731AA1"/>
    <w:rsid w:val="00733FC5"/>
    <w:rsid w:val="007373CB"/>
    <w:rsid w:val="007378E5"/>
    <w:rsid w:val="00741E60"/>
    <w:rsid w:val="00766987"/>
    <w:rsid w:val="007704E3"/>
    <w:rsid w:val="007A565C"/>
    <w:rsid w:val="007B3549"/>
    <w:rsid w:val="007B4CE6"/>
    <w:rsid w:val="007B5EE0"/>
    <w:rsid w:val="008027D6"/>
    <w:rsid w:val="0080629F"/>
    <w:rsid w:val="00814EDF"/>
    <w:rsid w:val="00845C3E"/>
    <w:rsid w:val="00857BDB"/>
    <w:rsid w:val="0086432F"/>
    <w:rsid w:val="00871E0D"/>
    <w:rsid w:val="008877D5"/>
    <w:rsid w:val="00890D1B"/>
    <w:rsid w:val="00891009"/>
    <w:rsid w:val="00897A20"/>
    <w:rsid w:val="008C00CA"/>
    <w:rsid w:val="008C0D5A"/>
    <w:rsid w:val="008C5A01"/>
    <w:rsid w:val="00925AB0"/>
    <w:rsid w:val="009604D8"/>
    <w:rsid w:val="009777F4"/>
    <w:rsid w:val="00986FEA"/>
    <w:rsid w:val="009B3D3F"/>
    <w:rsid w:val="009B5D20"/>
    <w:rsid w:val="009C454C"/>
    <w:rsid w:val="009E0CD5"/>
    <w:rsid w:val="009E32B9"/>
    <w:rsid w:val="009E718E"/>
    <w:rsid w:val="00A01FF1"/>
    <w:rsid w:val="00A224A2"/>
    <w:rsid w:val="00A3731F"/>
    <w:rsid w:val="00AB2E5A"/>
    <w:rsid w:val="00AD7F4A"/>
    <w:rsid w:val="00AE0B9A"/>
    <w:rsid w:val="00AF1E32"/>
    <w:rsid w:val="00B0573B"/>
    <w:rsid w:val="00B156AB"/>
    <w:rsid w:val="00B457B3"/>
    <w:rsid w:val="00B60B25"/>
    <w:rsid w:val="00B66238"/>
    <w:rsid w:val="00BA5D58"/>
    <w:rsid w:val="00BB162D"/>
    <w:rsid w:val="00BC49E5"/>
    <w:rsid w:val="00BF14D4"/>
    <w:rsid w:val="00BF4C14"/>
    <w:rsid w:val="00C36500"/>
    <w:rsid w:val="00C557CB"/>
    <w:rsid w:val="00C65AA0"/>
    <w:rsid w:val="00C81068"/>
    <w:rsid w:val="00C87916"/>
    <w:rsid w:val="00CE6156"/>
    <w:rsid w:val="00D308D6"/>
    <w:rsid w:val="00D5329D"/>
    <w:rsid w:val="00D6087E"/>
    <w:rsid w:val="00D87C1B"/>
    <w:rsid w:val="00D91AD3"/>
    <w:rsid w:val="00DC16AE"/>
    <w:rsid w:val="00DC2146"/>
    <w:rsid w:val="00DF20B9"/>
    <w:rsid w:val="00E112CE"/>
    <w:rsid w:val="00E3077A"/>
    <w:rsid w:val="00E63BB3"/>
    <w:rsid w:val="00E7163D"/>
    <w:rsid w:val="00EB1134"/>
    <w:rsid w:val="00EC0BC6"/>
    <w:rsid w:val="00EE3875"/>
    <w:rsid w:val="00EF3BF9"/>
    <w:rsid w:val="00F2042C"/>
    <w:rsid w:val="00F21B53"/>
    <w:rsid w:val="00F21C47"/>
    <w:rsid w:val="00F4223B"/>
    <w:rsid w:val="00F571F1"/>
    <w:rsid w:val="00F60DA4"/>
    <w:rsid w:val="00F61D16"/>
    <w:rsid w:val="00FB64F2"/>
    <w:rsid w:val="00FD6AC7"/>
    <w:rsid w:val="00FE0A72"/>
    <w:rsid w:val="00FF6DD3"/>
    <w:rsid w:val="01BC4FC7"/>
    <w:rsid w:val="021A6C2E"/>
    <w:rsid w:val="037E0C4C"/>
    <w:rsid w:val="08BA6735"/>
    <w:rsid w:val="0A684757"/>
    <w:rsid w:val="0AA66080"/>
    <w:rsid w:val="10885E44"/>
    <w:rsid w:val="1193257A"/>
    <w:rsid w:val="173C2D6C"/>
    <w:rsid w:val="182503E9"/>
    <w:rsid w:val="19415BB3"/>
    <w:rsid w:val="1A7D269C"/>
    <w:rsid w:val="1BA55C79"/>
    <w:rsid w:val="21B87493"/>
    <w:rsid w:val="2242136B"/>
    <w:rsid w:val="2392781F"/>
    <w:rsid w:val="25925E5B"/>
    <w:rsid w:val="28264B20"/>
    <w:rsid w:val="2BF04B5A"/>
    <w:rsid w:val="2DF857E7"/>
    <w:rsid w:val="2EB60859"/>
    <w:rsid w:val="2F3868FA"/>
    <w:rsid w:val="390214DE"/>
    <w:rsid w:val="39C72511"/>
    <w:rsid w:val="3C3644F6"/>
    <w:rsid w:val="413165F0"/>
    <w:rsid w:val="45BE5A18"/>
    <w:rsid w:val="47E25D76"/>
    <w:rsid w:val="4A2A502F"/>
    <w:rsid w:val="507B6AF5"/>
    <w:rsid w:val="52114BFC"/>
    <w:rsid w:val="55654192"/>
    <w:rsid w:val="56FB282E"/>
    <w:rsid w:val="58E2659B"/>
    <w:rsid w:val="61F555BE"/>
    <w:rsid w:val="67CD63BE"/>
    <w:rsid w:val="6DAF2986"/>
    <w:rsid w:val="6E703F6C"/>
    <w:rsid w:val="6EC66519"/>
    <w:rsid w:val="6EEA6FCF"/>
    <w:rsid w:val="79381292"/>
    <w:rsid w:val="7A653516"/>
    <w:rsid w:val="7A964969"/>
    <w:rsid w:val="7CE9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semiHidden="1" w:uiPriority="99" w:unhideWhenUsed="1" w:qFormat="1"/>
    <w:lsdException w:name="Subtitle" w:qFormat="1"/>
    <w:lsdException w:name="Dat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B45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B455A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9"/>
    <w:qFormat/>
    <w:rsid w:val="001B455A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9"/>
    <w:qFormat/>
    <w:rsid w:val="001B455A"/>
    <w:pPr>
      <w:keepNext/>
      <w:keepLines/>
      <w:spacing w:line="413" w:lineRule="auto"/>
      <w:outlineLvl w:val="2"/>
    </w:pPr>
    <w:rPr>
      <w:rFonts w:ascii="仿宋_GB2312" w:eastAsia="仿宋_GB2312" w:hAnsi="Calibri"/>
      <w:b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1B455A"/>
    <w:pPr>
      <w:ind w:firstLineChars="200" w:firstLine="880"/>
    </w:pPr>
    <w:rPr>
      <w:rFonts w:eastAsia="仿宋_GB2312"/>
      <w:sz w:val="32"/>
    </w:rPr>
  </w:style>
  <w:style w:type="paragraph" w:styleId="a4">
    <w:name w:val="Body Text"/>
    <w:basedOn w:val="a"/>
    <w:qFormat/>
    <w:rsid w:val="001B455A"/>
    <w:pPr>
      <w:spacing w:after="120"/>
    </w:pPr>
  </w:style>
  <w:style w:type="paragraph" w:styleId="a5">
    <w:name w:val="Body Text Indent"/>
    <w:basedOn w:val="a"/>
    <w:uiPriority w:val="99"/>
    <w:semiHidden/>
    <w:unhideWhenUsed/>
    <w:qFormat/>
    <w:rsid w:val="001B455A"/>
    <w:pPr>
      <w:spacing w:after="120"/>
      <w:ind w:leftChars="200" w:left="420"/>
    </w:pPr>
  </w:style>
  <w:style w:type="paragraph" w:styleId="a6">
    <w:name w:val="Date"/>
    <w:basedOn w:val="a"/>
    <w:next w:val="a"/>
    <w:link w:val="Char"/>
    <w:qFormat/>
    <w:rsid w:val="001B455A"/>
    <w:pPr>
      <w:ind w:leftChars="2500" w:left="100"/>
    </w:pPr>
    <w:rPr>
      <w:rFonts w:eastAsia="仿宋_GB2312"/>
      <w:kern w:val="0"/>
      <w:sz w:val="28"/>
    </w:rPr>
  </w:style>
  <w:style w:type="paragraph" w:styleId="a7">
    <w:name w:val="Balloon Text"/>
    <w:basedOn w:val="a"/>
    <w:link w:val="Char0"/>
    <w:qFormat/>
    <w:rsid w:val="001B455A"/>
    <w:rPr>
      <w:sz w:val="18"/>
      <w:szCs w:val="18"/>
    </w:rPr>
  </w:style>
  <w:style w:type="paragraph" w:styleId="a8">
    <w:name w:val="footer"/>
    <w:basedOn w:val="a"/>
    <w:link w:val="Char1"/>
    <w:qFormat/>
    <w:rsid w:val="001B4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rsid w:val="001B4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1B455A"/>
    <w:pPr>
      <w:spacing w:beforeAutospacing="1" w:afterAutospacing="1"/>
      <w:jc w:val="left"/>
    </w:pPr>
    <w:rPr>
      <w:kern w:val="0"/>
      <w:sz w:val="24"/>
    </w:rPr>
  </w:style>
  <w:style w:type="paragraph" w:styleId="20">
    <w:name w:val="Body Text First Indent 2"/>
    <w:basedOn w:val="a5"/>
    <w:uiPriority w:val="99"/>
    <w:unhideWhenUsed/>
    <w:qFormat/>
    <w:rsid w:val="001B455A"/>
    <w:pPr>
      <w:ind w:firstLineChars="200" w:firstLine="420"/>
    </w:pPr>
  </w:style>
  <w:style w:type="character" w:styleId="ab">
    <w:name w:val="Strong"/>
    <w:basedOn w:val="a1"/>
    <w:qFormat/>
    <w:rsid w:val="001B455A"/>
    <w:rPr>
      <w:b/>
    </w:rPr>
  </w:style>
  <w:style w:type="character" w:styleId="ac">
    <w:name w:val="page number"/>
    <w:qFormat/>
    <w:rsid w:val="001B455A"/>
  </w:style>
  <w:style w:type="character" w:customStyle="1" w:styleId="Char2">
    <w:name w:val="页眉 Char"/>
    <w:basedOn w:val="a1"/>
    <w:link w:val="a9"/>
    <w:qFormat/>
    <w:rsid w:val="001B455A"/>
    <w:rPr>
      <w:kern w:val="2"/>
      <w:sz w:val="18"/>
      <w:szCs w:val="18"/>
    </w:rPr>
  </w:style>
  <w:style w:type="character" w:customStyle="1" w:styleId="Char1">
    <w:name w:val="页脚 Char"/>
    <w:basedOn w:val="a1"/>
    <w:link w:val="a8"/>
    <w:qFormat/>
    <w:rsid w:val="001B455A"/>
    <w:rPr>
      <w:kern w:val="2"/>
      <w:sz w:val="18"/>
      <w:szCs w:val="18"/>
    </w:rPr>
  </w:style>
  <w:style w:type="character" w:customStyle="1" w:styleId="Char">
    <w:name w:val="日期 Char"/>
    <w:link w:val="a6"/>
    <w:qFormat/>
    <w:rsid w:val="001B455A"/>
    <w:rPr>
      <w:rFonts w:eastAsia="仿宋_GB2312"/>
      <w:sz w:val="28"/>
      <w:szCs w:val="24"/>
    </w:rPr>
  </w:style>
  <w:style w:type="character" w:customStyle="1" w:styleId="Char10">
    <w:name w:val="日期 Char1"/>
    <w:basedOn w:val="a1"/>
    <w:qFormat/>
    <w:rsid w:val="001B455A"/>
    <w:rPr>
      <w:kern w:val="2"/>
      <w:sz w:val="21"/>
      <w:szCs w:val="24"/>
    </w:rPr>
  </w:style>
  <w:style w:type="character" w:customStyle="1" w:styleId="Char0">
    <w:name w:val="批注框文本 Char"/>
    <w:basedOn w:val="a1"/>
    <w:link w:val="a7"/>
    <w:qFormat/>
    <w:rsid w:val="001B455A"/>
    <w:rPr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1B455A"/>
    <w:rPr>
      <w:kern w:val="2"/>
      <w:sz w:val="21"/>
      <w:szCs w:val="24"/>
    </w:rPr>
  </w:style>
  <w:style w:type="character" w:customStyle="1" w:styleId="qowt-font6">
    <w:name w:val="qowt-font6"/>
    <w:basedOn w:val="a1"/>
    <w:qFormat/>
    <w:rsid w:val="001B455A"/>
  </w:style>
  <w:style w:type="character" w:customStyle="1" w:styleId="fontstyle21">
    <w:name w:val="fontstyle21"/>
    <w:qFormat/>
    <w:rsid w:val="001B455A"/>
    <w:rPr>
      <w:rFonts w:ascii="仿宋_GB2312" w:eastAsia="仿宋_GB2312" w:hAnsi="Calibri" w:cs="Arial" w:hint="eastAsia"/>
      <w:color w:val="000000"/>
      <w:sz w:val="32"/>
      <w:szCs w:val="32"/>
    </w:rPr>
  </w:style>
  <w:style w:type="character" w:customStyle="1" w:styleId="1Char">
    <w:name w:val="标题 1 Char"/>
    <w:link w:val="1"/>
    <w:qFormat/>
    <w:rsid w:val="001B455A"/>
    <w:rPr>
      <w:b/>
      <w:kern w:val="44"/>
      <w:sz w:val="44"/>
    </w:rPr>
  </w:style>
  <w:style w:type="character" w:customStyle="1" w:styleId="font71">
    <w:name w:val="font71"/>
    <w:basedOn w:val="a1"/>
    <w:qFormat/>
    <w:rsid w:val="001B455A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sid w:val="001B455A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sid w:val="001B455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51">
    <w:name w:val="font151"/>
    <w:basedOn w:val="a1"/>
    <w:qFormat/>
    <w:rsid w:val="001B455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sid w:val="001B455A"/>
    <w:rPr>
      <w:rFonts w:ascii="仿宋_GB2312" w:eastAsia="仿宋_GB2312" w:cs="仿宋_GB2312" w:hint="eastAsia"/>
      <w:b/>
      <w:bCs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sid w:val="001B455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sid w:val="001B455A"/>
    <w:rPr>
      <w:rFonts w:ascii="楷体_GB2312" w:eastAsia="楷体_GB2312" w:cs="楷体_GB2312" w:hint="default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sid w:val="001B455A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1">
    <w:name w:val="font111"/>
    <w:basedOn w:val="a1"/>
    <w:qFormat/>
    <w:rsid w:val="001B455A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71">
    <w:name w:val="font171"/>
    <w:basedOn w:val="a1"/>
    <w:qFormat/>
    <w:rsid w:val="001B455A"/>
    <w:rPr>
      <w:rFonts w:ascii="TimesNewRoman" w:eastAsia="TimesNewRoman" w:hAnsi="TimesNewRoman" w:cs="TimesNewRoman"/>
      <w:color w:val="000000"/>
      <w:sz w:val="21"/>
      <w:szCs w:val="21"/>
      <w:u w:val="none"/>
    </w:rPr>
  </w:style>
  <w:style w:type="character" w:customStyle="1" w:styleId="font181">
    <w:name w:val="font181"/>
    <w:basedOn w:val="a1"/>
    <w:qFormat/>
    <w:rsid w:val="001B455A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91">
    <w:name w:val="font91"/>
    <w:basedOn w:val="a1"/>
    <w:qFormat/>
    <w:rsid w:val="001B455A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91">
    <w:name w:val="font191"/>
    <w:basedOn w:val="a1"/>
    <w:qFormat/>
    <w:rsid w:val="001B455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d">
    <w:name w:val="List Paragraph"/>
    <w:basedOn w:val="a"/>
    <w:uiPriority w:val="99"/>
    <w:unhideWhenUsed/>
    <w:rsid w:val="000F5F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1167</Words>
  <Characters>6655</Characters>
  <Application>Microsoft Office Word</Application>
  <DocSecurity>0</DocSecurity>
  <Lines>55</Lines>
  <Paragraphs>15</Paragraphs>
  <ScaleCrop>false</ScaleCrop>
  <Company>微软中国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cp:lastPrinted>2025-06-05T00:07:00Z</cp:lastPrinted>
  <dcterms:created xsi:type="dcterms:W3CDTF">2024-06-03T08:26:00Z</dcterms:created>
  <dcterms:modified xsi:type="dcterms:W3CDTF">2025-06-05T00:11:00Z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FFD949CEC6E84AEAB79186F0406DFAD0</vt:lpwstr>
  </property>
</Properties>
</file>