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48"/>
          <w:szCs w:val="48"/>
          <w:lang w:eastAsia="zh-CN"/>
        </w:rPr>
      </w:pPr>
      <w:r>
        <w:rPr>
          <w:rFonts w:hint="eastAsia" w:ascii="微软雅黑" w:hAnsi="微软雅黑" w:eastAsia="微软雅黑" w:cs="微软雅黑"/>
          <w:sz w:val="48"/>
          <w:szCs w:val="48"/>
          <w:lang w:eastAsia="zh-CN"/>
        </w:rPr>
        <w:t>吉首市发展和改革局</w:t>
      </w:r>
    </w:p>
    <w:p>
      <w:pPr>
        <w:jc w:val="center"/>
        <w:rPr>
          <w:rFonts w:ascii="微软雅黑" w:hAnsi="微软雅黑" w:eastAsia="微软雅黑" w:cs="微软雅黑"/>
          <w:sz w:val="48"/>
          <w:szCs w:val="48"/>
        </w:rPr>
      </w:pPr>
      <w:r>
        <w:rPr>
          <w:rFonts w:hint="eastAsia" w:ascii="微软雅黑" w:hAnsi="微软雅黑" w:eastAsia="微软雅黑" w:cs="微软雅黑"/>
          <w:sz w:val="48"/>
          <w:szCs w:val="48"/>
          <w:lang w:val="en-US" w:eastAsia="zh-CN"/>
        </w:rPr>
        <w:t>2024</w:t>
      </w:r>
      <w:r>
        <w:rPr>
          <w:rFonts w:hint="eastAsia" w:ascii="微软雅黑" w:hAnsi="微软雅黑" w:eastAsia="微软雅黑" w:cs="微软雅黑"/>
          <w:sz w:val="48"/>
          <w:szCs w:val="48"/>
        </w:rPr>
        <w:t>年度部门整体支出绩效自评报告</w:t>
      </w: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44"/>
          <w:szCs w:val="44"/>
        </w:rPr>
      </w:pPr>
    </w:p>
    <w:p>
      <w:pPr>
        <w:spacing w:line="600" w:lineRule="exact"/>
        <w:ind w:firstLine="880" w:firstLineChars="200"/>
        <w:jc w:val="center"/>
        <w:rPr>
          <w:rFonts w:eastAsia="黑体"/>
          <w:sz w:val="44"/>
          <w:szCs w:val="44"/>
        </w:rPr>
      </w:pPr>
    </w:p>
    <w:p>
      <w:pPr>
        <w:spacing w:line="600" w:lineRule="exact"/>
        <w:ind w:firstLine="2160" w:firstLineChars="600"/>
        <w:rPr>
          <w:rFonts w:eastAsia="黑体"/>
          <w:sz w:val="36"/>
          <w:szCs w:val="36"/>
        </w:rPr>
      </w:pPr>
      <w:r>
        <w:rPr>
          <w:rFonts w:eastAsia="黑体"/>
          <w:sz w:val="36"/>
          <w:szCs w:val="36"/>
        </w:rPr>
        <w:t>单位名称（盖章）：</w:t>
      </w:r>
      <w:r>
        <w:rPr>
          <w:rFonts w:hint="eastAsia" w:eastAsia="黑体"/>
          <w:color w:val="000000" w:themeColor="text1"/>
          <w:sz w:val="36"/>
          <w:szCs w:val="36"/>
          <w14:textFill>
            <w14:solidFill>
              <w14:schemeClr w14:val="tx1"/>
            </w14:solidFill>
          </w14:textFill>
        </w:rPr>
        <w:t>吉首市发展和改革局</w:t>
      </w:r>
    </w:p>
    <w:p>
      <w:pPr>
        <w:spacing w:line="600" w:lineRule="exact"/>
        <w:ind w:firstLine="2160" w:firstLineChars="600"/>
        <w:rPr>
          <w:rFonts w:hint="default" w:eastAsia="黑体"/>
          <w:sz w:val="36"/>
          <w:szCs w:val="36"/>
          <w:lang w:val="en-US" w:eastAsia="zh-CN"/>
        </w:rPr>
      </w:pPr>
      <w:r>
        <w:rPr>
          <w:rFonts w:hint="eastAsia" w:eastAsia="黑体"/>
          <w:sz w:val="36"/>
          <w:szCs w:val="36"/>
        </w:rPr>
        <w:t>预算编码：</w:t>
      </w:r>
      <w:r>
        <w:rPr>
          <w:rFonts w:hint="eastAsia" w:eastAsia="黑体"/>
          <w:sz w:val="36"/>
          <w:szCs w:val="36"/>
          <w:lang w:val="en-US" w:eastAsia="zh-CN"/>
        </w:rPr>
        <w:t>351001</w:t>
      </w:r>
    </w:p>
    <w:p>
      <w:pPr>
        <w:spacing w:line="600" w:lineRule="exact"/>
        <w:jc w:val="center"/>
        <w:rPr>
          <w:rFonts w:eastAsia="黑体"/>
          <w:sz w:val="36"/>
          <w:szCs w:val="36"/>
        </w:rPr>
      </w:pPr>
    </w:p>
    <w:p>
      <w:pPr>
        <w:spacing w:line="600" w:lineRule="exact"/>
        <w:ind w:firstLine="2099" w:firstLineChars="656"/>
        <w:jc w:val="left"/>
        <w:rPr>
          <w:rFonts w:eastAsia="仿宋_GB2312"/>
          <w:sz w:val="32"/>
          <w:szCs w:val="32"/>
        </w:rPr>
      </w:pPr>
      <w:r>
        <w:rPr>
          <w:rFonts w:hint="eastAsia" w:eastAsia="仿宋_GB2312"/>
          <w:sz w:val="32"/>
          <w:szCs w:val="32"/>
        </w:rPr>
        <w:t>评价方式：</w:t>
      </w:r>
      <w:r>
        <w:rPr>
          <w:rFonts w:hint="eastAsia" w:eastAsia="仿宋_GB2312"/>
          <w:color w:val="000000" w:themeColor="text1"/>
          <w:sz w:val="32"/>
          <w:szCs w:val="32"/>
          <w14:textFill>
            <w14:solidFill>
              <w14:schemeClr w14:val="tx1"/>
            </w14:solidFill>
          </w14:textFill>
        </w:rPr>
        <w:t>吉首市发改局</w:t>
      </w:r>
      <w:r>
        <w:rPr>
          <w:rFonts w:hint="eastAsia" w:eastAsia="仿宋_GB2312"/>
          <w:sz w:val="32"/>
          <w:szCs w:val="32"/>
        </w:rPr>
        <w:t>绩效自评</w:t>
      </w:r>
    </w:p>
    <w:p>
      <w:pPr>
        <w:spacing w:line="600" w:lineRule="exact"/>
        <w:ind w:firstLine="2099" w:firstLineChars="656"/>
        <w:jc w:val="left"/>
        <w:rPr>
          <w:rFonts w:eastAsia="仿宋_GB2312" w:cs="Arial"/>
          <w:sz w:val="28"/>
          <w:szCs w:val="28"/>
        </w:rPr>
      </w:pPr>
      <w:r>
        <w:rPr>
          <w:rFonts w:hint="eastAsia" w:eastAsia="仿宋_GB2312"/>
          <w:sz w:val="32"/>
          <w:szCs w:val="32"/>
        </w:rPr>
        <w:t>评价机构：</w:t>
      </w:r>
      <w:r>
        <w:rPr>
          <w:rFonts w:hint="eastAsia" w:eastAsia="仿宋_GB2312"/>
          <w:color w:val="000000" w:themeColor="text1"/>
          <w:sz w:val="32"/>
          <w:szCs w:val="32"/>
          <w14:textFill>
            <w14:solidFill>
              <w14:schemeClr w14:val="tx1"/>
            </w14:solidFill>
          </w14:textFill>
        </w:rPr>
        <w:t>吉首市发改局</w:t>
      </w:r>
      <w:r>
        <w:rPr>
          <w:rFonts w:hint="eastAsia" w:eastAsia="仿宋_GB2312"/>
          <w:sz w:val="32"/>
          <w:szCs w:val="32"/>
        </w:rPr>
        <w:t>评价组</w:t>
      </w:r>
    </w:p>
    <w:p>
      <w:pPr>
        <w:ind w:firstLine="420" w:firstLineChars="150"/>
        <w:jc w:val="left"/>
        <w:rPr>
          <w:rFonts w:eastAsia="仿宋_GB2312" w:cs="Arial"/>
          <w:sz w:val="28"/>
          <w:szCs w:val="28"/>
        </w:rPr>
      </w:pPr>
    </w:p>
    <w:p>
      <w:pPr>
        <w:jc w:val="center"/>
        <w:rPr>
          <w:rFonts w:eastAsia="仿宋_GB2312" w:cs="Arial"/>
          <w:sz w:val="28"/>
          <w:szCs w:val="28"/>
        </w:rPr>
      </w:pPr>
    </w:p>
    <w:p>
      <w:pPr>
        <w:jc w:val="both"/>
        <w:rPr>
          <w:rFonts w:eastAsia="仿宋_GB2312" w:cs="Arial"/>
          <w:sz w:val="28"/>
          <w:szCs w:val="28"/>
        </w:rPr>
      </w:pPr>
    </w:p>
    <w:p>
      <w:pPr>
        <w:jc w:val="center"/>
        <w:rPr>
          <w:rFonts w:eastAsia="仿宋_GB2312" w:cs="Arial"/>
          <w:sz w:val="28"/>
          <w:szCs w:val="28"/>
        </w:rPr>
      </w:pP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报告时间：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2025</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6</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tbl>
      <w:tblPr>
        <w:tblStyle w:val="9"/>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0"/>
        <w:gridCol w:w="212"/>
        <w:gridCol w:w="46"/>
        <w:gridCol w:w="1080"/>
        <w:gridCol w:w="675"/>
        <w:gridCol w:w="680"/>
        <w:gridCol w:w="272"/>
        <w:gridCol w:w="810"/>
        <w:gridCol w:w="1479"/>
        <w:gridCol w:w="226"/>
        <w:gridCol w:w="194"/>
        <w:gridCol w:w="261"/>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20" w:lineRule="exact"/>
              <w:jc w:val="center"/>
              <w:textAlignment w:val="center"/>
              <w:rPr>
                <w:rFonts w:eastAsia="仿宋_GB2312" w:cs="仿宋_GB2312"/>
                <w:sz w:val="24"/>
              </w:rPr>
            </w:pPr>
            <w:r>
              <w:rPr>
                <w:rFonts w:hint="eastAsia" w:eastAsia="黑体" w:cs="黑体"/>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2" w:type="dxa"/>
            <w:gridSpan w:val="2"/>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联系人</w:t>
            </w:r>
          </w:p>
        </w:tc>
        <w:tc>
          <w:tcPr>
            <w:tcW w:w="3563" w:type="dxa"/>
            <w:gridSpan w:val="6"/>
            <w:noWrap w:val="0"/>
            <w:vAlign w:val="center"/>
          </w:tcPr>
          <w:p>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lang w:eastAsia="zh-CN"/>
              </w:rPr>
              <w:t>张强</w:t>
            </w:r>
          </w:p>
        </w:tc>
        <w:tc>
          <w:tcPr>
            <w:tcW w:w="1479" w:type="dxa"/>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联系电话</w:t>
            </w:r>
          </w:p>
        </w:tc>
        <w:tc>
          <w:tcPr>
            <w:tcW w:w="3106" w:type="dxa"/>
            <w:gridSpan w:val="8"/>
            <w:noWrap w:val="0"/>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8521129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2" w:type="dxa"/>
            <w:gridSpan w:val="2"/>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人员编制</w:t>
            </w:r>
          </w:p>
        </w:tc>
        <w:tc>
          <w:tcPr>
            <w:tcW w:w="3563" w:type="dxa"/>
            <w:gridSpan w:val="6"/>
            <w:noWrap w:val="0"/>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57</w:t>
            </w:r>
          </w:p>
        </w:tc>
        <w:tc>
          <w:tcPr>
            <w:tcW w:w="1479" w:type="dxa"/>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实有人数</w:t>
            </w:r>
          </w:p>
        </w:tc>
        <w:tc>
          <w:tcPr>
            <w:tcW w:w="3106" w:type="dxa"/>
            <w:gridSpan w:val="8"/>
            <w:noWrap w:val="0"/>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15" w:hRule="atLeast"/>
          <w:jc w:val="center"/>
        </w:trPr>
        <w:tc>
          <w:tcPr>
            <w:tcW w:w="1652" w:type="dxa"/>
            <w:gridSpan w:val="2"/>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职能职责概述</w:t>
            </w:r>
          </w:p>
        </w:tc>
        <w:tc>
          <w:tcPr>
            <w:tcW w:w="8148" w:type="dxa"/>
            <w:gridSpan w:val="15"/>
            <w:noWrap w:val="0"/>
            <w:vAlign w:val="center"/>
          </w:tcPr>
          <w:p>
            <w:pPr>
              <w:keepNext w:val="0"/>
              <w:keepLines w:val="0"/>
              <w:suppressLineNumbers w:val="0"/>
              <w:spacing w:before="0" w:beforeAutospacing="0" w:after="0" w:afterAutospacing="0"/>
              <w:ind w:left="0" w:right="0"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1、拟订并组织实施全市国民经济和社会发展战略、中长期规划和年度计划。牵头组织统一规划体系建设。负责市级专项规划、区域规划、空间规划与全市发展规划的统筹衔接。研究拟订全市国民经济和社会发展、经济体制改革和对外开放的有关规章制度，协调解决有关重大问题。受市政府委托向市人民代表大会提交国民经济和社会发展计划的报告。 </w:t>
            </w:r>
          </w:p>
          <w:p>
            <w:pPr>
              <w:keepNext w:val="0"/>
              <w:keepLines w:val="0"/>
              <w:suppressLineNumbers w:val="0"/>
              <w:spacing w:before="0" w:beforeAutospacing="0" w:after="0" w:afterAutospacing="0"/>
              <w:ind w:left="0" w:right="0"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2、提出加快建设现代化经济体系、推动高质量发展的总体目标、重大任务以及相关政策。组织开展重大战略规划、重大政策、重大工程等评估督导，提出相关调整建议。 </w:t>
            </w:r>
          </w:p>
          <w:p>
            <w:pPr>
              <w:keepNext w:val="0"/>
              <w:keepLines w:val="0"/>
              <w:suppressLineNumbers w:val="0"/>
              <w:spacing w:before="0" w:beforeAutospacing="0" w:after="0" w:afterAutospacing="0"/>
              <w:ind w:left="0" w:right="0"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3、统筹提出全市国民经济和社会发展主要目标，监测预测预警宏观经济和社会发展态势趋势，提出宏观调控政策建议。综合协调宏观经济政策，牵头研究宏观经济应对措施。调节经济运行，协调解决经济运行中的重大问题。参与拟订财政政策、土地政策等。 </w:t>
            </w:r>
          </w:p>
          <w:p>
            <w:pPr>
              <w:keepNext w:val="0"/>
              <w:keepLines w:val="0"/>
              <w:suppressLineNumbers w:val="0"/>
              <w:spacing w:before="0" w:beforeAutospacing="0" w:after="0" w:afterAutospacing="0"/>
              <w:ind w:left="0" w:right="0"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4、指导推进和综合协调全市经济体制改革有关工作，提出相关改革建议。牵头推进供给侧结构性改革。协调推进产权制度和要素市场化配置改革。推动完善基本经济制度和现代市场体系建设，会同相关部门组织实施市场准入负面清单制度。 </w:t>
            </w:r>
          </w:p>
          <w:p>
            <w:pPr>
              <w:keepNext w:val="0"/>
              <w:keepLines w:val="0"/>
              <w:suppressLineNumbers w:val="0"/>
              <w:spacing w:before="0" w:beforeAutospacing="0" w:after="0" w:afterAutospacing="0"/>
              <w:ind w:left="0" w:right="0"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5、提出全市利用外资和境外投资的战略、规划、总量平衡和结构优化的政策。推进实施“一带一路”建设。统筹协调“走出去”有关工作。负责全市全口径外债的总量控制、结构优化和监测工作。 </w:t>
            </w:r>
          </w:p>
          <w:p>
            <w:pPr>
              <w:keepNext w:val="0"/>
              <w:keepLines w:val="0"/>
              <w:suppressLineNumbers w:val="0"/>
              <w:spacing w:before="0" w:beforeAutospacing="0" w:after="0" w:afterAutospacing="0"/>
              <w:ind w:left="0" w:right="0"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6、负责投资综合管理，拟订全市固定资产投资总规模、结构调控目标、政策及措施，会同相关部门拟订政府投资项目审批权限和政府核准的固定资产投资项目目录。按规定权限审批、核准、审核、备案重大项目。规划全市重大建设项目和生产力布局。拟订并推动落实鼓励民间投资政策措施。负责政府投资项目代建制实施的指导、协调和监督管理。指导工程咨询业发展。 </w:t>
            </w:r>
          </w:p>
          <w:p>
            <w:pPr>
              <w:keepNext w:val="0"/>
              <w:keepLines w:val="0"/>
              <w:suppressLineNumbers w:val="0"/>
              <w:spacing w:before="0" w:beforeAutospacing="0" w:after="0" w:afterAutospacing="0"/>
              <w:ind w:left="0" w:right="0"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7、推进落实区域协调发展战略和重大政策，组织拟订相关区域规划和政策。统筹推进实施国家和省州重大区域发展战略。贯彻落实国家西部开发、中部崛起、长江经济带发展的相关政策措施，统筹推进承接产业转移示范区创建工作。组织拟订和实施老少边贫及其他特殊困难地区发展规划和政策，组织实施易地扶贫搬迁等。组织编制并推动实施新型城镇化规划。参与研究拟订全市新型城镇化发展战略和重大政策措施，协调配合做好相关工作。制定开发区发展规划和政策。统筹协调区域合作和对口支援工作。 </w:t>
            </w:r>
          </w:p>
          <w:p>
            <w:pPr>
              <w:keepNext w:val="0"/>
              <w:keepLines w:val="0"/>
              <w:suppressLineNumbers w:val="0"/>
              <w:spacing w:before="0" w:beforeAutospacing="0" w:after="0" w:afterAutospacing="0"/>
              <w:ind w:left="0" w:right="0"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8、组织拟订综合性产业政策。负责协调一、二、三产业发展的重大问题并统筹衔接相关发展规划和重大政策。协调推进重大基础设施建设，组织拟订并推动实施服务业及现代物流业发展规划和重大政策。综合研判消费变动趋势，拟订实施促进消费的综合性政策措施。 </w:t>
            </w:r>
          </w:p>
          <w:p>
            <w:pPr>
              <w:keepNext w:val="0"/>
              <w:keepLines w:val="0"/>
              <w:suppressLineNumbers w:val="0"/>
              <w:spacing w:before="0" w:beforeAutospacing="0" w:after="0" w:afterAutospacing="0"/>
              <w:ind w:left="0" w:right="0"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9、推动实施创新驱动发展战略。会同相关部门拟订推进创新创业的规划和政策，提出创新发展和培育经济发展新动能的政策措施。会同相关部门规划布局全市重大科技基础设施。组织拟订并推动实施高技术产业和战略性新兴产业发展规划政策，协调产业升级、重大技术装备推广应用等方面的重大问题。 </w:t>
            </w:r>
          </w:p>
          <w:p>
            <w:pPr>
              <w:keepNext w:val="0"/>
              <w:keepLines w:val="0"/>
              <w:suppressLineNumbers w:val="0"/>
              <w:spacing w:before="0" w:beforeAutospacing="0" w:after="0" w:afterAutospacing="0"/>
              <w:ind w:left="0" w:right="0"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10、跟踪研判涉及经济安全、生态安全、资源安全、科技安全、社会安全等各类风险隐患，提出相关工作建议。承担经济、生态、资源等重点领域国家安全工作协调机制相关工作。负责重要商品总量平衡和宏观调控，提出重要工业品、原材料和重要农产品进出口调控建议并做好相关工作。 </w:t>
            </w:r>
          </w:p>
          <w:p>
            <w:pPr>
              <w:keepNext w:val="0"/>
              <w:keepLines w:val="0"/>
              <w:suppressLineNumbers w:val="0"/>
              <w:spacing w:before="0" w:beforeAutospacing="0" w:after="0" w:afterAutospacing="0"/>
              <w:ind w:left="0" w:right="0"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11、负责社会发展与国民经济发展的政策衔接，协调有关重大问题。组织拟订社会发展战略、总体规划，统筹推进基本公共服务体系建设和收入分配制度改革，提出促进就业、完善社会保障与经济协调发展的政策建议。 </w:t>
            </w:r>
          </w:p>
          <w:p>
            <w:pPr>
              <w:keepNext w:val="0"/>
              <w:keepLines w:val="0"/>
              <w:suppressLineNumbers w:val="0"/>
              <w:spacing w:before="0" w:beforeAutospacing="0" w:after="0" w:afterAutospacing="0"/>
              <w:ind w:left="0" w:right="0"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12、推进实施可持续发展战略，推动生态文明建设和改革，协调生态环境保护与修复、能源资源节约和综合利用等工作。提出健全生态保护补偿机制的政策措施，综合协调节能环保产业和清洁生产促进有关工作。提出能源消费控制目标、任务并组织实施。 </w:t>
            </w:r>
          </w:p>
          <w:p>
            <w:pPr>
              <w:keepNext w:val="0"/>
              <w:keepLines w:val="0"/>
              <w:suppressLineNumbers w:val="0"/>
              <w:spacing w:before="0" w:beforeAutospacing="0" w:after="0" w:afterAutospacing="0"/>
              <w:ind w:left="0" w:right="0"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13、拟订并组织实施有关价格政策，组织制定少数由市级管理的重要商品、服务价格和重要收费标准。监测、分析市场价格形势，组织实施价格总水平控制；管理国家、省、州、市列名管理的商品和服务价格。负责价格成本调查和监审。 </w:t>
            </w:r>
          </w:p>
          <w:p>
            <w:pPr>
              <w:keepNext w:val="0"/>
              <w:keepLines w:val="0"/>
              <w:suppressLineNumbers w:val="0"/>
              <w:spacing w:before="0" w:beforeAutospacing="0" w:after="0" w:afterAutospacing="0"/>
              <w:ind w:left="0" w:right="0"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14、牵头推进全市优化营商环境工作。配合全州公共资源交易平台建设运行，牵头组织监督市级公共资源交易活动。牵头开展社会信用体系建设，研究拟订推进社会信用体系建设的规划和政策措施，统筹推进统一的信用信息平台建设，协调有关重大问题。 </w:t>
            </w:r>
          </w:p>
          <w:p>
            <w:pPr>
              <w:keepNext w:val="0"/>
              <w:keepLines w:val="0"/>
              <w:suppressLineNumbers w:val="0"/>
              <w:spacing w:before="0" w:beforeAutospacing="0" w:after="0" w:afterAutospacing="0"/>
              <w:ind w:left="0" w:right="0"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15、会同有关部门拟订推进全市经济建设与国防建设协调发展的战略和规划，协调有关重大问题。推动实施军民融合发展战略，组织编制全市国民经济动员规划，协调和组织实施全市国民经济动员有关工作。 </w:t>
            </w:r>
          </w:p>
          <w:p>
            <w:pPr>
              <w:keepNext w:val="0"/>
              <w:keepLines w:val="0"/>
              <w:suppressLineNumbers w:val="0"/>
              <w:spacing w:before="0" w:beforeAutospacing="0" w:after="0" w:afterAutospacing="0"/>
              <w:ind w:left="0" w:right="0"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16、承担湘西地区开发、优化经济发展环境、承接产业转移示范区建设等市级议事协调机构的有关具体工作。 </w:t>
            </w:r>
          </w:p>
          <w:p>
            <w:pPr>
              <w:keepNext w:val="0"/>
              <w:keepLines w:val="0"/>
              <w:suppressLineNumbers w:val="0"/>
              <w:spacing w:before="0" w:beforeAutospacing="0" w:after="0" w:afterAutospacing="0"/>
              <w:ind w:left="0" w:right="0"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17、参与上级拟定有关粮食流通地方性法规草案和有关政策并监督执行。研究提出全市粮食宏观调控及粮食流通的中长期规划,拟订全市粮食市场体系建设与发展规划,承担全市粮食流通宏观调控的具体工作。拟订粮食流通和物资储备体制改革方案并组织实施。 </w:t>
            </w:r>
          </w:p>
          <w:p>
            <w:pPr>
              <w:keepNext w:val="0"/>
              <w:keepLines w:val="0"/>
              <w:suppressLineNumbers w:val="0"/>
              <w:spacing w:before="0" w:beforeAutospacing="0" w:after="0" w:afterAutospacing="0"/>
              <w:ind w:left="0" w:right="0"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18、研究提出全市战略物资储备规划、全市储备品种目录的建议。根据全市储备总体发展规划和品种目录,组织实施全市战略和应急储备物资的收储、轮换和日常管理,落实有关动用计划和指令。 </w:t>
            </w:r>
          </w:p>
          <w:p>
            <w:pPr>
              <w:keepNext w:val="0"/>
              <w:keepLines w:val="0"/>
              <w:suppressLineNumbers w:val="0"/>
              <w:spacing w:before="0" w:beforeAutospacing="0" w:after="0" w:afterAutospacing="0"/>
              <w:ind w:left="0" w:right="0"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19、管理全市粮食等战略物资储备,负责市级储备粮行政管理。监测粮食和战略物资供求变化并预测预警。指导协调政策性粮食购销和粮食产销合作,保障军队粮食供应。承担粮食安全省长责任制考核日常工作。 </w:t>
            </w:r>
          </w:p>
          <w:p>
            <w:pPr>
              <w:keepNext w:val="0"/>
              <w:keepLines w:val="0"/>
              <w:suppressLineNumbers w:val="0"/>
              <w:spacing w:before="0" w:beforeAutospacing="0" w:after="0" w:afterAutospacing="0"/>
              <w:ind w:left="0" w:right="0"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20、组织实施粮食和物资储备仓储管理有关技术标准和规范。负责全市粮食流通、加工行业安全生产工作的监督管理,承担所属物资储备承储单位安全生产的监管责任。 </w:t>
            </w:r>
          </w:p>
          <w:p>
            <w:pPr>
              <w:keepNext w:val="0"/>
              <w:keepLines w:val="0"/>
              <w:suppressLineNumbers w:val="0"/>
              <w:spacing w:before="0" w:beforeAutospacing="0" w:after="0" w:afterAutospacing="0"/>
              <w:ind w:left="0" w:right="0"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21、根据国家、省、州储备总体发展规划,统一负责储备基础设施建设和管理。拟订全市储备基础设施、粮食流通设施建设规划并组织实施,管理有关储备基础设施和粮食流通设施投资项目。 </w:t>
            </w:r>
          </w:p>
          <w:p>
            <w:pPr>
              <w:keepNext w:val="0"/>
              <w:keepLines w:val="0"/>
              <w:suppressLineNumbers w:val="0"/>
              <w:spacing w:before="0" w:beforeAutospacing="0" w:after="0" w:afterAutospacing="0"/>
              <w:ind w:left="0" w:right="0"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22、负责对管理的政府储备、企业储备以及储备政策落实情况进行监督检查。负责粮食流通监督检查,负责粮食收购、储存、运输环节粮食质量安全和原粮卫生的监督管理,组织实施粮食库存检查工作。 </w:t>
            </w:r>
          </w:p>
          <w:p>
            <w:pPr>
              <w:keepNext w:val="0"/>
              <w:keepLines w:val="0"/>
              <w:suppressLineNumbers w:val="0"/>
              <w:spacing w:before="0" w:beforeAutospacing="0" w:after="0" w:afterAutospacing="0"/>
              <w:ind w:left="0" w:right="0"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23、负责粮食流通行业管理,制定行业发展规划、政策,制定有关技术规范并监督执行粮食流通和物资储备有关标准、粮食质量有关标准。负责实施粮食收购行政许可的有关行政管理。负责协调推进粮食产业发展有关工作。负责粮食和物资储备的对外合作与交流。 </w:t>
            </w:r>
          </w:p>
          <w:p>
            <w:pPr>
              <w:keepNext w:val="0"/>
              <w:keepLines w:val="0"/>
              <w:suppressLineNumbers w:val="0"/>
              <w:spacing w:before="0" w:beforeAutospacing="0" w:after="0" w:afterAutospacing="0"/>
              <w:ind w:left="0" w:right="0"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24、完成市委、市政府交办的其他任务。 </w:t>
            </w:r>
          </w:p>
          <w:p>
            <w:pPr>
              <w:autoSpaceDN w:val="0"/>
              <w:spacing w:line="320" w:lineRule="exact"/>
              <w:jc w:val="left"/>
              <w:textAlignment w:val="center"/>
              <w:rPr>
                <w:rFonts w:eastAsia="仿宋_GB2312" w:cs="仿宋_GB2312"/>
                <w:sz w:val="24"/>
              </w:rPr>
            </w:pPr>
            <w:r>
              <w:rPr>
                <w:rFonts w:hint="eastAsia" w:ascii="仿宋_GB2312" w:hAnsi="仿宋_GB2312" w:eastAsia="仿宋_GB2312" w:cs="仿宋_GB2312"/>
                <w:color w:val="000000" w:themeColor="text1"/>
                <w:szCs w:val="21"/>
                <w14:textFill>
                  <w14:solidFill>
                    <w14:schemeClr w14:val="tx1"/>
                  </w14:solidFill>
                </w14:textFill>
              </w:rPr>
              <w:t xml:space="preserve">25、职能转变。贯彻新发展理念，把主要精力转到管宏观、谋全局、抓大事上来，加强跨部门、跨地区、跨行业、跨领域的重大战略规划、重大改革、重大工程的综合协调，统筹全面创新改革，提高经济发展质量和效益。进一步减少微观管理事务和具体审批事项，最大限度减少政府对市场资源的直接配置，最大限度减少政府对市场活动的直接干预，提高资源配置效率和公平性，激发各类市场主体活力。 （1）强化制订全市重大发展战略、统一规划体系的职能，完善相关规划制度，做好规划统筹，精简规划数量，提高规划质量，更好发挥重大发展战略、规划导向作用。 （2）完善宏观调控体系，创新调控方式，构建发展规划、财政、金融等政策协调和工作协同机制，强化经济监测预测预警能力，建立健全重大问题研究和政策储备工作机制，增强宏观调控前瞻性、针对性、协同性。 （3）深入推进简政放权，全面实施市场准入负面清单制度。深化投融资体制改革，最大限度减少项目审批、核准范围。深化价格改革，及时修订调减政府定价目录，健全反映市场供求的定价机制。加快推进政府监管和公共信用信息共享。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759" w:hRule="atLeast"/>
          <w:jc w:val="center"/>
        </w:trPr>
        <w:tc>
          <w:tcPr>
            <w:tcW w:w="1652" w:type="dxa"/>
            <w:gridSpan w:val="2"/>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年度主要</w:t>
            </w:r>
          </w:p>
          <w:p>
            <w:pPr>
              <w:autoSpaceDN w:val="0"/>
              <w:spacing w:line="320" w:lineRule="exact"/>
              <w:jc w:val="center"/>
              <w:textAlignment w:val="center"/>
              <w:rPr>
                <w:rFonts w:eastAsia="仿宋_GB2312" w:cs="仿宋_GB2312"/>
                <w:sz w:val="24"/>
              </w:rPr>
            </w:pPr>
            <w:r>
              <w:rPr>
                <w:rFonts w:hint="eastAsia" w:eastAsia="仿宋_GB2312" w:cs="仿宋_GB2312"/>
                <w:sz w:val="24"/>
              </w:rPr>
              <w:t>工作内容</w:t>
            </w:r>
          </w:p>
        </w:tc>
        <w:tc>
          <w:tcPr>
            <w:tcW w:w="8148" w:type="dxa"/>
            <w:gridSpan w:val="15"/>
            <w:noWrap w:val="0"/>
            <w:vAlign w:val="center"/>
          </w:tcPr>
          <w:p>
            <w:pPr>
              <w:autoSpaceDN w:val="0"/>
              <w:spacing w:line="320" w:lineRule="exact"/>
              <w:jc w:val="left"/>
              <w:textAlignment w:val="center"/>
              <w:rPr>
                <w:rFonts w:hint="eastAsia" w:eastAsia="仿宋_GB2312" w:cs="仿宋_GB2312"/>
                <w:sz w:val="24"/>
                <w:lang w:eastAsia="zh-CN"/>
              </w:rPr>
            </w:pPr>
            <w:r>
              <w:rPr>
                <w:rFonts w:hint="eastAsia" w:eastAsia="仿宋_GB2312" w:cs="仿宋_GB2312"/>
                <w:sz w:val="24"/>
              </w:rPr>
              <w:t>任务1：</w:t>
            </w:r>
            <w:r>
              <w:rPr>
                <w:rFonts w:hint="eastAsia" w:ascii="仿宋_GB2312" w:hAnsi="仿宋_GB2312" w:eastAsia="仿宋_GB2312" w:cs="仿宋_GB2312"/>
                <w:color w:val="000000" w:themeColor="text1"/>
                <w:kern w:val="0"/>
                <w:szCs w:val="21"/>
                <w14:textFill>
                  <w14:solidFill>
                    <w14:schemeClr w14:val="tx1"/>
                  </w14:solidFill>
                </w14:textFill>
              </w:rPr>
              <w:t>保障单位的正常运转，搞好经济运行形势分析，认真做好监测、预警，提出解决经济运行中存在问题的建议和意见</w:t>
            </w:r>
            <w:r>
              <w:rPr>
                <w:rFonts w:hint="eastAsia" w:ascii="仿宋_GB2312" w:hAnsi="仿宋_GB2312" w:eastAsia="仿宋_GB2312" w:cs="仿宋_GB2312"/>
                <w:color w:val="000000" w:themeColor="text1"/>
                <w:kern w:val="0"/>
                <w:szCs w:val="21"/>
                <w:lang w:eastAsia="zh-CN"/>
                <w14:textFill>
                  <w14:solidFill>
                    <w14:schemeClr w14:val="tx1"/>
                  </w14:solidFill>
                </w14:textFill>
              </w:rPr>
              <w:t>。</w:t>
            </w:r>
          </w:p>
          <w:p>
            <w:pPr>
              <w:autoSpaceDN w:val="0"/>
              <w:spacing w:line="320" w:lineRule="exact"/>
              <w:jc w:val="left"/>
              <w:textAlignment w:val="center"/>
              <w:rPr>
                <w:rFonts w:eastAsia="仿宋_GB2312" w:cs="仿宋_GB2312"/>
                <w:sz w:val="24"/>
              </w:rPr>
            </w:pPr>
            <w:r>
              <w:rPr>
                <w:rFonts w:hint="eastAsia" w:eastAsia="仿宋_GB2312" w:cs="仿宋_GB2312"/>
                <w:sz w:val="24"/>
              </w:rPr>
              <w:t>任务2：</w:t>
            </w:r>
            <w:r>
              <w:rPr>
                <w:rFonts w:hint="eastAsia" w:ascii="仿宋_GB2312" w:hAnsi="仿宋_GB2312" w:eastAsia="仿宋_GB2312" w:cs="仿宋_GB2312"/>
                <w:color w:val="000000" w:themeColor="text1"/>
                <w:kern w:val="0"/>
                <w:sz w:val="21"/>
                <w:szCs w:val="21"/>
                <w14:textFill>
                  <w14:solidFill>
                    <w14:schemeClr w14:val="tx1"/>
                  </w14:solidFill>
                </w14:textFill>
              </w:rPr>
              <w:t>密切关注国家宏观调控政策新动向，重视研究一些带有全局性、长远性的重大问题，增强了经济运行分析的预见性、针对性和有效性。</w:t>
            </w:r>
            <w:r>
              <w:rPr>
                <w:rFonts w:hint="eastAsia" w:ascii="仿宋_GB2312" w:hAnsi="仿宋_GB2312" w:eastAsia="仿宋_GB2312" w:cs="仿宋_GB2312"/>
                <w:color w:val="000000" w:themeColor="text1"/>
                <w:kern w:val="0"/>
                <w:sz w:val="21"/>
                <w:szCs w:val="21"/>
                <w14:textFill>
                  <w14:solidFill>
                    <w14:schemeClr w14:val="tx1"/>
                  </w14:solidFill>
                </w14:textFill>
              </w:rPr>
              <w:br w:type="textWrapping"/>
            </w:r>
            <w:r>
              <w:rPr>
                <w:rFonts w:hint="eastAsia" w:eastAsia="仿宋_GB2312" w:cs="仿宋_GB2312"/>
                <w:sz w:val="24"/>
              </w:rPr>
              <w:t>任务3：</w:t>
            </w:r>
            <w:r>
              <w:rPr>
                <w:rFonts w:hint="eastAsia" w:ascii="仿宋_GB2312" w:hAnsi="仿宋_GB2312" w:eastAsia="仿宋_GB2312" w:cs="仿宋_GB2312"/>
                <w:color w:val="000000" w:themeColor="text1"/>
                <w:kern w:val="0"/>
                <w:sz w:val="21"/>
                <w:szCs w:val="21"/>
                <w14:textFill>
                  <w14:solidFill>
                    <w14:schemeClr w14:val="tx1"/>
                  </w14:solidFill>
                </w14:textFill>
              </w:rPr>
              <w:t>根据国家产业政策调整方向和投资重点，着力抓好项目申报工作。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655" w:hRule="atLeast"/>
          <w:jc w:val="center"/>
        </w:trPr>
        <w:tc>
          <w:tcPr>
            <w:tcW w:w="1652" w:type="dxa"/>
            <w:gridSpan w:val="2"/>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年度部门（单位）总体运行情况及取得的成绩</w:t>
            </w:r>
          </w:p>
        </w:tc>
        <w:tc>
          <w:tcPr>
            <w:tcW w:w="8148" w:type="dxa"/>
            <w:gridSpan w:val="15"/>
            <w:noWrap w:val="0"/>
            <w:vAlign w:val="center"/>
          </w:tcPr>
          <w:p>
            <w:pPr>
              <w:autoSpaceDN w:val="0"/>
              <w:spacing w:line="320" w:lineRule="exact"/>
              <w:jc w:val="left"/>
              <w:textAlignment w:val="center"/>
              <w:rPr>
                <w:rFonts w:hint="eastAsia" w:eastAsia="仿宋_GB2312" w:cs="仿宋_GB2312"/>
                <w:sz w:val="24"/>
              </w:rPr>
            </w:pPr>
            <w:r>
              <w:rPr>
                <w:rFonts w:hint="eastAsia" w:eastAsia="仿宋_GB2312" w:cs="仿宋_GB2312"/>
                <w:sz w:val="24"/>
              </w:rPr>
              <w:t>（一）坚持高质量发展，落实好各项重点工作</w:t>
            </w:r>
          </w:p>
          <w:p>
            <w:pPr>
              <w:autoSpaceDN w:val="0"/>
              <w:spacing w:line="320" w:lineRule="exact"/>
              <w:jc w:val="left"/>
              <w:textAlignment w:val="center"/>
              <w:rPr>
                <w:rFonts w:hint="eastAsia" w:eastAsia="仿宋_GB2312" w:cs="仿宋_GB2312"/>
                <w:sz w:val="24"/>
              </w:rPr>
            </w:pPr>
            <w:r>
              <w:rPr>
                <w:rFonts w:hint="eastAsia" w:eastAsia="仿宋_GB2312" w:cs="仿宋_GB2312"/>
                <w:sz w:val="24"/>
              </w:rPr>
              <w:t>一是抓好主要经济指标监测分析。建立经济运行监测机制，按照月调度、季分析，加强对重点经济指标数据分析监测。据数据显示，预计2024年，全市地区生产总值增长2%左右，市属规模工业增加值增长3.1%，市属固定资产投资增长2.2%（不含酒鬼），社会消费品零售总额增长1.9%左右，地方一般公共预算收入增长6.5%，城乡居民人均可支配收入分别增长5%、6.5%。从预计完成情况看，2024年全市经济克服了较多困难挑战，顶住了较大下行压力，呈现前高、中回落、后稳的态势，总体运行稳中向好，主要经济指标均有增长；特别是市属规模工业增加值、市属固定资产投资增速回正，较上一年度大幅提升。</w:t>
            </w:r>
          </w:p>
          <w:p>
            <w:pPr>
              <w:autoSpaceDN w:val="0"/>
              <w:spacing w:line="320" w:lineRule="exact"/>
              <w:jc w:val="left"/>
              <w:textAlignment w:val="center"/>
              <w:rPr>
                <w:rFonts w:hint="eastAsia" w:eastAsia="仿宋_GB2312" w:cs="仿宋_GB2312"/>
                <w:sz w:val="24"/>
              </w:rPr>
            </w:pPr>
            <w:r>
              <w:rPr>
                <w:rFonts w:hint="eastAsia" w:eastAsia="仿宋_GB2312" w:cs="仿宋_GB2312"/>
                <w:sz w:val="24"/>
              </w:rPr>
              <w:t>二是抓实保供稳价民生实事。进一步统筹抓好煤电油气和其他重要商品保供稳价，继续努力推动地方经济合理增长、稳定物价水平。粮食市场秩序稳定。认真落实好国家粮食收购政策，积极行使好粮食行政主管部门职能作用，组织和指导、督促国有粮食企业发挥好储备作用，积极开展秋粮收购入库前的各项准备工作，坚决执行最低粮食收购价政策，坚持以质论价，不压级压价，损害农民利益。能源电力保障有力。全年电网建设项目132个，总投资2.55亿元，年度投资1.52亿元，重点项目均明确相关责任单位配合推进，吉首市屋顶分布式光伏发电项目建设规模已完成8.988MW，累计完成投资3000万；迎峰度夏度冬能源运行总体稳定。严抓重要价格审批。先后完成对市属公办中小学及幼儿园学生伙食费标准的调整、御龙湾等中大型小区前期物业费的审批、对城区道路临时停车收费标准的进行下调、吉首市雅思中学2024年秋季开学学费审批进行核准。</w:t>
            </w:r>
          </w:p>
          <w:p>
            <w:pPr>
              <w:autoSpaceDN w:val="0"/>
              <w:spacing w:line="320" w:lineRule="exact"/>
              <w:jc w:val="left"/>
              <w:textAlignment w:val="center"/>
              <w:rPr>
                <w:rFonts w:hint="eastAsia" w:eastAsia="仿宋_GB2312" w:cs="仿宋_GB2312"/>
                <w:sz w:val="24"/>
              </w:rPr>
            </w:pPr>
            <w:r>
              <w:rPr>
                <w:rFonts w:hint="eastAsia" w:eastAsia="仿宋_GB2312" w:cs="仿宋_GB2312"/>
                <w:sz w:val="24"/>
              </w:rPr>
              <w:t>三是全面深化改革有力推进。持续优化营商环境。完善信用体系建设，实行守信联合激励和失信联合惩戒机制。服务建设全国统一大市场，建立了《不当干预全国统一大市场建设行为问题整改和典型案例约谈通报制度》，推动各部门形成工作合力。支持民营企业发展，开展助企纾困解难行动。全市有市场主体51730户，净增3879户，企业净增752户。加快推进绿色低碳转型。加快实施绿色化改造升级工程，上争资金2亿元推进峒河南北岸排水防涝整治提标、农村人居环境整治提升及乾州污水处理厂管网更新改造工程，提升污染治理和节能减碳基础能力；坚决遏制“两高”项目盲目发展，完善资源总量管理和全面节约制度，推进各类资源节约集约利用，推动产业全面向绿色发展转型。</w:t>
            </w:r>
          </w:p>
          <w:p>
            <w:pPr>
              <w:autoSpaceDN w:val="0"/>
              <w:spacing w:line="320" w:lineRule="exact"/>
              <w:jc w:val="left"/>
              <w:textAlignment w:val="center"/>
              <w:rPr>
                <w:rFonts w:hint="eastAsia" w:eastAsia="仿宋_GB2312" w:cs="仿宋_GB2312"/>
                <w:sz w:val="24"/>
              </w:rPr>
            </w:pPr>
            <w:r>
              <w:rPr>
                <w:rFonts w:hint="eastAsia" w:eastAsia="仿宋_GB2312" w:cs="仿宋_GB2312"/>
                <w:sz w:val="24"/>
              </w:rPr>
              <w:t>四是提前谋划“十五五”规划编制。启动我市“十五五”规划编制前期工作，已向上呈报拟纳入国家或省“十五五”发展规划的重大项目，报送了吉首市抽水蓄能电站、湘西磁浮快线旅游线路、国际陆港吉首分港建设项目、吉首市全钒液流电池储能项目、吉首市应急疏散基地等5个重大项目和乡村全面振兴、民族团结进步等2个“十五五”规划前期研究课题，其中吉首市抽水蓄能电站项目拟打包纳入国家“十五五”发展规划重大项目。确定了“十五五”规划编制的第三方咨询机构，目前已与第三方咨询机构对接，着手收集相关资料，开展前期《基本思路》研究，初步形成了《吉首市希望纳入国家、省、州“十五五”规划&lt;基本思路&gt;的重点内容》。</w:t>
            </w:r>
          </w:p>
          <w:p>
            <w:pPr>
              <w:autoSpaceDN w:val="0"/>
              <w:spacing w:line="320" w:lineRule="exact"/>
              <w:jc w:val="left"/>
              <w:textAlignment w:val="center"/>
              <w:rPr>
                <w:rFonts w:hint="eastAsia" w:eastAsia="仿宋_GB2312" w:cs="仿宋_GB2312"/>
                <w:sz w:val="24"/>
              </w:rPr>
            </w:pPr>
            <w:r>
              <w:rPr>
                <w:rFonts w:hint="eastAsia" w:eastAsia="仿宋_GB2312" w:cs="仿宋_GB2312"/>
                <w:sz w:val="24"/>
              </w:rPr>
              <w:t>（二）坚持主责主业，突出抓好项目建设</w:t>
            </w:r>
          </w:p>
          <w:p>
            <w:pPr>
              <w:autoSpaceDN w:val="0"/>
              <w:spacing w:line="320" w:lineRule="exact"/>
              <w:jc w:val="left"/>
              <w:textAlignment w:val="center"/>
              <w:rPr>
                <w:rFonts w:hint="eastAsia" w:eastAsia="仿宋_GB2312" w:cs="仿宋_GB2312"/>
                <w:sz w:val="24"/>
              </w:rPr>
            </w:pPr>
            <w:r>
              <w:rPr>
                <w:rFonts w:hint="eastAsia" w:eastAsia="仿宋_GB2312" w:cs="仿宋_GB2312"/>
                <w:sz w:val="24"/>
              </w:rPr>
              <w:t>一是加快推进项目建设。2024年实施省州重点项目45个，总投资390.56亿元，预计年度完成投资79.98亿元。续建项目24个，新开项目21个，续建项目复工率100%。</w:t>
            </w:r>
          </w:p>
          <w:p>
            <w:pPr>
              <w:autoSpaceDN w:val="0"/>
              <w:spacing w:line="320" w:lineRule="exact"/>
              <w:jc w:val="left"/>
              <w:textAlignment w:val="center"/>
              <w:rPr>
                <w:rFonts w:hint="eastAsia" w:eastAsia="仿宋_GB2312" w:cs="仿宋_GB2312"/>
                <w:sz w:val="24"/>
              </w:rPr>
            </w:pPr>
            <w:r>
              <w:rPr>
                <w:rFonts w:hint="eastAsia" w:eastAsia="仿宋_GB2312" w:cs="仿宋_GB2312"/>
                <w:sz w:val="24"/>
              </w:rPr>
              <w:t>二是加强谋划项目储备。根据省州“项目大谋划 谋划大项目”工作要求，我市谋划储备2025-2028年项目164个，总投资371.89亿元。包括中央预算内项目77个，拟申报中央预算内资金34亿元；超长期特别国债项目45个，拟申报超长期特别国债资金59亿元；专项债券项目50个，拟申报专项债券75.22亿元。其中：符合资金投向、包装成熟，并列入2025年中央省预算内储备项目53个，总投资25.87亿元，拟申报中央预算内资金16.82亿元；2025年超长期特别国债“两重”“两新”储备项目17个，项目总投资15.14亿元，超长期特别国债需求10.53亿元；2025年已初步谋划专项债项目38个，总投资98.18亿元，债券需求68.51亿元。</w:t>
            </w:r>
          </w:p>
          <w:p>
            <w:pPr>
              <w:autoSpaceDN w:val="0"/>
              <w:spacing w:line="320" w:lineRule="exact"/>
              <w:jc w:val="left"/>
              <w:textAlignment w:val="center"/>
              <w:rPr>
                <w:rFonts w:hint="eastAsia" w:eastAsia="仿宋_GB2312" w:cs="仿宋_GB2312"/>
                <w:sz w:val="24"/>
              </w:rPr>
            </w:pPr>
            <w:r>
              <w:rPr>
                <w:rFonts w:hint="eastAsia" w:eastAsia="仿宋_GB2312" w:cs="仿宋_GB2312"/>
                <w:sz w:val="24"/>
              </w:rPr>
              <w:t>三是全力做好项目保障。成立了全市项目前期工作协调领导小组，组建项目前期工作专班，明确专抓项目领导和专抓工作人员。建立重大项目前期、政府拟实施项目前期、州重点项目动态储备前期建立工作台账，实行清单管理，定期开展项目前期研究论证，着力加强用地、用工、金融等政策配套，全面提速项目立项、手续报批、开工建设各个环节。加强管理督导。落实领导包联包抓重点项目责任制，定期分析项目推进和问题整改落实情况，通过“三函”督办，限期清零，全面提速审批、核准、开工、建设各个环节。加强项目招投标监管，严禁未批先建、边批边建，杜绝项目烂尾、资源浪费、重大风险。</w:t>
            </w:r>
          </w:p>
          <w:p>
            <w:pPr>
              <w:autoSpaceDN w:val="0"/>
              <w:spacing w:line="320" w:lineRule="exact"/>
              <w:jc w:val="left"/>
              <w:textAlignment w:val="center"/>
              <w:rPr>
                <w:rFonts w:hint="eastAsia" w:eastAsia="仿宋_GB2312" w:cs="仿宋_GB2312"/>
                <w:sz w:val="24"/>
              </w:rPr>
            </w:pPr>
            <w:r>
              <w:rPr>
                <w:rFonts w:hint="eastAsia" w:eastAsia="仿宋_GB2312" w:cs="仿宋_GB2312"/>
                <w:sz w:val="24"/>
              </w:rPr>
              <w:t>四是抓实固定资产投资。目前我市2024年固定资产在库118个项目，其中投资类在库项目61个，房地产类在库项目57个；项目总投资278亿元，累计完成投资231亿元，剩余空间47亿元。预计12月完成投资3.6亿元，（不含酒鬼酒数据），1-12月预计完成投资60.8亿元，同比（59.5亿元）增长2.2%。</w:t>
            </w:r>
          </w:p>
          <w:p>
            <w:pPr>
              <w:autoSpaceDN w:val="0"/>
              <w:spacing w:line="320" w:lineRule="exact"/>
              <w:jc w:val="left"/>
              <w:textAlignment w:val="center"/>
              <w:rPr>
                <w:rFonts w:hint="eastAsia" w:eastAsia="仿宋_GB2312" w:cs="仿宋_GB2312"/>
                <w:sz w:val="24"/>
              </w:rPr>
            </w:pPr>
            <w:r>
              <w:rPr>
                <w:rFonts w:hint="eastAsia" w:eastAsia="仿宋_GB2312" w:cs="仿宋_GB2312"/>
                <w:sz w:val="24"/>
              </w:rPr>
              <w:t>（三）特色亮点显成效，用足政策扩大投资增量</w:t>
            </w:r>
          </w:p>
          <w:p>
            <w:pPr>
              <w:autoSpaceDN w:val="0"/>
              <w:spacing w:line="320" w:lineRule="exact"/>
              <w:jc w:val="left"/>
              <w:textAlignment w:val="center"/>
              <w:rPr>
                <w:rFonts w:eastAsia="仿宋_GB2312" w:cs="仿宋_GB2312"/>
                <w:sz w:val="24"/>
              </w:rPr>
            </w:pPr>
            <w:r>
              <w:rPr>
                <w:rFonts w:hint="eastAsia" w:eastAsia="仿宋_GB2312" w:cs="仿宋_GB2312"/>
                <w:sz w:val="24"/>
              </w:rPr>
              <w:t>强化宏观政策逆周期和跨周期调节、加强政策工具创新和协调配合，梳理今年以来国家出台的一揽子增量政策文件名录九大类71项，特别是抓住“中央、省预算内”“专项债券”“两重”“两新”等政策红利。今年我市共向上申报并获专项资金项目34个，总投资25.57亿元，共获得上级专项资金10.77亿元。其中，中央预算内投资项目12个，下达中央预算内资金1.31亿元。已在国家重大项目库生成调度任务项目11个，已开工8个，开工率72.7%，共支付0.85亿元，中央预算内资金支付率65%；省预算内资金项目3个，安排省预算内资金780万元，开工1个，开工率33%；专项债券项目19个，总投资60亿元，年度债券需求22.9亿元。截至目前，两批项目已获国家发改委、财政部一致审核通过10个，2024年债券需求资金9.87亿元。2024年共发行专项债券项目6个，发行专项债券6.23亿元（其中0.92亿元为化债资金）。已开工项目4个，项目开工率66.7%；当年发行专项债券已到位5.31亿元，已使用债券资金2.93亿元，资金使用率55.18%；增发国债项目12个，安排增发国债资金2.59亿元，截止目前，已开工建设项目12个，开工率100%；已竣工项目2个，累计支付增发国债资金1.4亿元，增发国债资金支付率54%。超长期特别国债项目1个，安排超长期特别国债5660万元，目前项目正在进行招投标手续。此外，我市还向上申报了2024年“两重”“两新”项目7个，项目总投资2.35亿元,资金需求1亿元；其中上报国家发改委“两新”项目2个，项目总投资1.66亿元,资金需求1亿元，经反馈，国家发改委正在审核“两新”项目1个，总投资1.16亿元，资金需求0.81亿元；上报省预算内“两新”项目5个，项目总投资0.69亿元，资金需求0.19亿元，经反馈，省预算内“两新”项目通过审核一个，总投资0.13亿元，资金需求0.018亿元。我市联合各大银行申报设备更新长期再贷款项目13个，项目总投资7.65亿，贷款总需求5.45亿，国家发改委审核通过1个，获批额度0.3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7" w:hRule="atLeast"/>
          <w:jc w:val="center"/>
        </w:trPr>
        <w:tc>
          <w:tcPr>
            <w:tcW w:w="9800" w:type="dxa"/>
            <w:gridSpan w:val="17"/>
            <w:noWrap w:val="0"/>
            <w:vAlign w:val="center"/>
          </w:tcPr>
          <w:p>
            <w:pPr>
              <w:autoSpaceDN w:val="0"/>
              <w:spacing w:line="320" w:lineRule="exact"/>
              <w:jc w:val="center"/>
              <w:textAlignment w:val="center"/>
              <w:rPr>
                <w:rFonts w:eastAsia="仿宋_GB2312" w:cs="仿宋_GB2312"/>
                <w:sz w:val="24"/>
              </w:rPr>
            </w:pPr>
            <w:r>
              <w:rPr>
                <w:rFonts w:hint="eastAsia" w:eastAsia="黑体" w:cs="黑体"/>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2" w:hRule="atLeast"/>
          <w:jc w:val="center"/>
        </w:trPr>
        <w:tc>
          <w:tcPr>
            <w:tcW w:w="9800" w:type="dxa"/>
            <w:gridSpan w:val="17"/>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b/>
                <w:bCs/>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2" w:hRule="atLeast"/>
          <w:jc w:val="center"/>
        </w:trPr>
        <w:tc>
          <w:tcPr>
            <w:tcW w:w="1698" w:type="dxa"/>
            <w:gridSpan w:val="3"/>
            <w:vMerge w:val="restart"/>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收入合计</w:t>
            </w:r>
          </w:p>
        </w:tc>
        <w:tc>
          <w:tcPr>
            <w:tcW w:w="7022" w:type="dxa"/>
            <w:gridSpan w:val="13"/>
            <w:tcBorders>
              <w:left w:val="single" w:color="auto" w:sz="4" w:space="0"/>
            </w:tcBorders>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94" w:hRule="atLeast"/>
          <w:jc w:val="center"/>
        </w:trPr>
        <w:tc>
          <w:tcPr>
            <w:tcW w:w="1698" w:type="dxa"/>
            <w:gridSpan w:val="3"/>
            <w:vMerge w:val="continue"/>
            <w:noWrap w:val="0"/>
            <w:vAlign w:val="center"/>
          </w:tcPr>
          <w:p>
            <w:pPr>
              <w:autoSpaceDN w:val="0"/>
              <w:spacing w:line="320" w:lineRule="exact"/>
              <w:jc w:val="center"/>
              <w:textAlignment w:val="center"/>
              <w:rPr>
                <w:rFonts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eastAsia="仿宋_GB2312" w:cs="仿宋_GB2312"/>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上年结转</w:t>
            </w:r>
          </w:p>
        </w:tc>
        <w:tc>
          <w:tcPr>
            <w:tcW w:w="1082" w:type="dxa"/>
            <w:gridSpan w:val="2"/>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公共财</w:t>
            </w:r>
          </w:p>
          <w:p>
            <w:pPr>
              <w:autoSpaceDN w:val="0"/>
              <w:spacing w:line="320" w:lineRule="exact"/>
              <w:jc w:val="center"/>
              <w:textAlignment w:val="center"/>
              <w:rPr>
                <w:rFonts w:eastAsia="仿宋_GB2312" w:cs="仿宋_GB2312"/>
                <w:sz w:val="24"/>
              </w:rPr>
            </w:pPr>
            <w:r>
              <w:rPr>
                <w:rFonts w:hint="eastAsia" w:eastAsia="仿宋_GB2312" w:cs="仿宋_GB2312"/>
                <w:sz w:val="24"/>
              </w:rPr>
              <w:t>政拨款</w:t>
            </w:r>
          </w:p>
        </w:tc>
        <w:tc>
          <w:tcPr>
            <w:tcW w:w="1705" w:type="dxa"/>
            <w:gridSpan w:val="2"/>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政府基金拨款</w:t>
            </w:r>
          </w:p>
        </w:tc>
        <w:tc>
          <w:tcPr>
            <w:tcW w:w="1800" w:type="dxa"/>
            <w:gridSpan w:val="4"/>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纳入专户管理的非税收入拨款</w:t>
            </w:r>
          </w:p>
        </w:tc>
        <w:tc>
          <w:tcPr>
            <w:tcW w:w="1080" w:type="dxa"/>
            <w:gridSpan w:val="3"/>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其他</w:t>
            </w:r>
          </w:p>
          <w:p>
            <w:pPr>
              <w:autoSpaceDN w:val="0"/>
              <w:spacing w:line="320" w:lineRule="exact"/>
              <w:jc w:val="center"/>
              <w:textAlignment w:val="center"/>
              <w:rPr>
                <w:rFonts w:eastAsia="仿宋_GB2312" w:cs="仿宋_GB2312"/>
                <w:sz w:val="24"/>
              </w:rPr>
            </w:pPr>
            <w:r>
              <w:rPr>
                <w:rFonts w:hint="eastAsia" w:eastAsia="仿宋_GB2312" w:cs="仿宋_GB2312"/>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698" w:type="dxa"/>
            <w:gridSpan w:val="3"/>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局机关及二级机构汇总</w:t>
            </w:r>
          </w:p>
        </w:tc>
        <w:tc>
          <w:tcPr>
            <w:tcW w:w="1080" w:type="dxa"/>
            <w:tcBorders>
              <w:right w:val="single" w:color="auto" w:sz="4" w:space="0"/>
            </w:tcBorders>
            <w:noWrap w:val="0"/>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3028.07</w:t>
            </w:r>
          </w:p>
        </w:tc>
        <w:tc>
          <w:tcPr>
            <w:tcW w:w="1355" w:type="dxa"/>
            <w:gridSpan w:val="2"/>
            <w:tcBorders>
              <w:left w:val="single" w:color="auto" w:sz="4" w:space="0"/>
            </w:tcBorders>
            <w:noWrap w:val="0"/>
            <w:vAlign w:val="center"/>
          </w:tcPr>
          <w:p>
            <w:pPr>
              <w:autoSpaceDN w:val="0"/>
              <w:spacing w:line="320" w:lineRule="exact"/>
              <w:jc w:val="left"/>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1082" w:type="dxa"/>
            <w:gridSpan w:val="2"/>
            <w:noWrap w:val="0"/>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2911.19</w:t>
            </w:r>
          </w:p>
        </w:tc>
        <w:tc>
          <w:tcPr>
            <w:tcW w:w="1705" w:type="dxa"/>
            <w:gridSpan w:val="2"/>
            <w:noWrap w:val="0"/>
            <w:vAlign w:val="center"/>
          </w:tcPr>
          <w:p>
            <w:pPr>
              <w:autoSpaceDN w:val="0"/>
              <w:spacing w:line="320" w:lineRule="exact"/>
              <w:jc w:val="left"/>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1800" w:type="dxa"/>
            <w:gridSpan w:val="4"/>
            <w:noWrap w:val="0"/>
            <w:vAlign w:val="center"/>
          </w:tcPr>
          <w:p>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1080" w:type="dxa"/>
            <w:gridSpan w:val="3"/>
            <w:noWrap w:val="0"/>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116.88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98" w:type="dxa"/>
            <w:gridSpan w:val="3"/>
            <w:noWrap w:val="0"/>
            <w:vAlign w:val="center"/>
          </w:tcPr>
          <w:p>
            <w:pPr>
              <w:spacing w:line="320" w:lineRule="exact"/>
              <w:rPr>
                <w:rFonts w:eastAsia="仿宋_GB2312" w:cs="仿宋_GB2312"/>
                <w:sz w:val="24"/>
              </w:rPr>
            </w:pPr>
            <w:r>
              <w:rPr>
                <w:rFonts w:hint="eastAsia" w:eastAsia="仿宋_GB2312" w:cs="仿宋_GB2312"/>
                <w:sz w:val="24"/>
              </w:rPr>
              <w:t>1</w:t>
            </w:r>
            <w:r>
              <w:rPr>
                <w:rFonts w:hint="eastAsia" w:eastAsia="仿宋_GB2312" w:cs="仿宋_GB2312"/>
                <w:sz w:val="24"/>
                <w:lang w:val="en-US" w:eastAsia="zh-CN"/>
              </w:rPr>
              <w:t>.</w:t>
            </w:r>
            <w:r>
              <w:rPr>
                <w:rFonts w:hint="eastAsia" w:eastAsia="仿宋_GB2312" w:cs="仿宋_GB2312"/>
                <w:sz w:val="24"/>
              </w:rPr>
              <w:t>局机关</w:t>
            </w:r>
          </w:p>
        </w:tc>
        <w:tc>
          <w:tcPr>
            <w:tcW w:w="1080" w:type="dxa"/>
            <w:tcBorders>
              <w:right w:val="single" w:color="auto" w:sz="4" w:space="0"/>
            </w:tcBorders>
            <w:noWrap w:val="0"/>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3028.07</w:t>
            </w:r>
          </w:p>
        </w:tc>
        <w:tc>
          <w:tcPr>
            <w:tcW w:w="1355" w:type="dxa"/>
            <w:gridSpan w:val="2"/>
            <w:tcBorders>
              <w:left w:val="single" w:color="auto" w:sz="4" w:space="0"/>
            </w:tcBorders>
            <w:noWrap w:val="0"/>
            <w:vAlign w:val="center"/>
          </w:tcPr>
          <w:p>
            <w:pPr>
              <w:autoSpaceDN w:val="0"/>
              <w:spacing w:line="320" w:lineRule="exact"/>
              <w:jc w:val="left"/>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1082" w:type="dxa"/>
            <w:gridSpan w:val="2"/>
            <w:noWrap w:val="0"/>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2911.19</w:t>
            </w:r>
          </w:p>
        </w:tc>
        <w:tc>
          <w:tcPr>
            <w:tcW w:w="1705" w:type="dxa"/>
            <w:gridSpan w:val="2"/>
            <w:noWrap w:val="0"/>
            <w:vAlign w:val="center"/>
          </w:tcPr>
          <w:p>
            <w:pPr>
              <w:autoSpaceDN w:val="0"/>
              <w:spacing w:line="320" w:lineRule="exact"/>
              <w:jc w:val="left"/>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1800" w:type="dxa"/>
            <w:gridSpan w:val="4"/>
            <w:noWrap w:val="0"/>
            <w:vAlign w:val="center"/>
          </w:tcPr>
          <w:p>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1080" w:type="dxa"/>
            <w:gridSpan w:val="3"/>
            <w:noWrap w:val="0"/>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116.88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98" w:type="dxa"/>
            <w:gridSpan w:val="3"/>
            <w:noWrap w:val="0"/>
            <w:vAlign w:val="center"/>
          </w:tcPr>
          <w:p>
            <w:pPr>
              <w:spacing w:line="320" w:lineRule="exact"/>
              <w:rPr>
                <w:rFonts w:eastAsia="仿宋_GB2312" w:cs="仿宋_GB2312"/>
                <w:sz w:val="24"/>
              </w:rPr>
            </w:pPr>
            <w:r>
              <w:rPr>
                <w:rFonts w:hint="eastAsia" w:eastAsia="仿宋_GB2312" w:cs="仿宋_GB2312"/>
                <w:sz w:val="24"/>
              </w:rPr>
              <w:t>2</w:t>
            </w:r>
            <w:r>
              <w:rPr>
                <w:rFonts w:hint="eastAsia" w:eastAsia="仿宋_GB2312" w:cs="仿宋_GB2312"/>
                <w:sz w:val="24"/>
                <w:lang w:val="en-US" w:eastAsia="zh-CN"/>
              </w:rPr>
              <w:t>.</w:t>
            </w:r>
            <w:r>
              <w:rPr>
                <w:rFonts w:hint="eastAsia" w:eastAsia="仿宋_GB2312" w:cs="仿宋_GB2312"/>
                <w:sz w:val="24"/>
              </w:rPr>
              <w:t>二级机构1</w:t>
            </w:r>
          </w:p>
        </w:tc>
        <w:tc>
          <w:tcPr>
            <w:tcW w:w="1080" w:type="dxa"/>
            <w:tcBorders>
              <w:right w:val="single" w:color="auto" w:sz="4" w:space="0"/>
            </w:tcBorders>
            <w:noWrap w:val="0"/>
            <w:vAlign w:val="center"/>
          </w:tcPr>
          <w:p>
            <w:pPr>
              <w:autoSpaceDN w:val="0"/>
              <w:spacing w:line="320" w:lineRule="exact"/>
              <w:jc w:val="left"/>
              <w:textAlignment w:val="center"/>
              <w:rPr>
                <w:rFonts w:eastAsia="仿宋_GB2312" w:cs="仿宋_GB2312"/>
                <w:sz w:val="24"/>
              </w:rPr>
            </w:pPr>
          </w:p>
        </w:tc>
        <w:tc>
          <w:tcPr>
            <w:tcW w:w="1355" w:type="dxa"/>
            <w:gridSpan w:val="2"/>
            <w:tcBorders>
              <w:left w:val="single" w:color="auto" w:sz="4" w:space="0"/>
            </w:tcBorders>
            <w:noWrap w:val="0"/>
            <w:vAlign w:val="center"/>
          </w:tcPr>
          <w:p>
            <w:pPr>
              <w:autoSpaceDN w:val="0"/>
              <w:spacing w:line="320" w:lineRule="exact"/>
              <w:jc w:val="left"/>
              <w:textAlignment w:val="center"/>
              <w:rPr>
                <w:rFonts w:eastAsia="仿宋_GB2312" w:cs="仿宋_GB2312"/>
                <w:sz w:val="24"/>
              </w:rPr>
            </w:pPr>
          </w:p>
        </w:tc>
        <w:tc>
          <w:tcPr>
            <w:tcW w:w="1082" w:type="dxa"/>
            <w:gridSpan w:val="2"/>
            <w:noWrap w:val="0"/>
            <w:vAlign w:val="center"/>
          </w:tcPr>
          <w:p>
            <w:pPr>
              <w:autoSpaceDN w:val="0"/>
              <w:spacing w:line="320" w:lineRule="exact"/>
              <w:jc w:val="left"/>
              <w:textAlignment w:val="center"/>
              <w:rPr>
                <w:rFonts w:eastAsia="仿宋_GB2312" w:cs="仿宋_GB2312"/>
                <w:sz w:val="24"/>
              </w:rPr>
            </w:pPr>
          </w:p>
        </w:tc>
        <w:tc>
          <w:tcPr>
            <w:tcW w:w="1705" w:type="dxa"/>
            <w:gridSpan w:val="2"/>
            <w:noWrap w:val="0"/>
            <w:vAlign w:val="center"/>
          </w:tcPr>
          <w:p>
            <w:pPr>
              <w:autoSpaceDN w:val="0"/>
              <w:spacing w:line="320" w:lineRule="exact"/>
              <w:jc w:val="left"/>
              <w:textAlignment w:val="center"/>
              <w:rPr>
                <w:rFonts w:eastAsia="仿宋_GB2312" w:cs="仿宋_GB2312"/>
                <w:sz w:val="24"/>
              </w:rPr>
            </w:pPr>
          </w:p>
        </w:tc>
        <w:tc>
          <w:tcPr>
            <w:tcW w:w="1800" w:type="dxa"/>
            <w:gridSpan w:val="4"/>
            <w:noWrap w:val="0"/>
            <w:vAlign w:val="center"/>
          </w:tcPr>
          <w:p>
            <w:pPr>
              <w:autoSpaceDN w:val="0"/>
              <w:spacing w:line="320" w:lineRule="exact"/>
              <w:jc w:val="center"/>
              <w:textAlignment w:val="center"/>
              <w:rPr>
                <w:rFonts w:eastAsia="仿宋_GB2312" w:cs="仿宋_GB2312"/>
                <w:sz w:val="24"/>
              </w:rPr>
            </w:pPr>
          </w:p>
        </w:tc>
        <w:tc>
          <w:tcPr>
            <w:tcW w:w="1080" w:type="dxa"/>
            <w:gridSpan w:val="3"/>
            <w:noWrap w:val="0"/>
            <w:vAlign w:val="center"/>
          </w:tcPr>
          <w:p>
            <w:pPr>
              <w:autoSpaceDN w:val="0"/>
              <w:spacing w:line="320" w:lineRule="exact"/>
              <w:jc w:val="left"/>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98" w:type="dxa"/>
            <w:gridSpan w:val="3"/>
            <w:noWrap w:val="0"/>
            <w:vAlign w:val="center"/>
          </w:tcPr>
          <w:p>
            <w:pPr>
              <w:spacing w:line="320" w:lineRule="exact"/>
              <w:rPr>
                <w:rFonts w:eastAsia="仿宋_GB2312" w:cs="仿宋_GB2312"/>
                <w:sz w:val="24"/>
              </w:rPr>
            </w:pPr>
            <w:r>
              <w:rPr>
                <w:rFonts w:hint="eastAsia" w:eastAsia="仿宋_GB2312" w:cs="仿宋_GB2312"/>
                <w:sz w:val="24"/>
              </w:rPr>
              <w:t>3</w:t>
            </w:r>
            <w:r>
              <w:rPr>
                <w:rFonts w:hint="eastAsia" w:eastAsia="仿宋_GB2312" w:cs="仿宋_GB2312"/>
                <w:sz w:val="24"/>
                <w:lang w:val="en-US" w:eastAsia="zh-CN"/>
              </w:rPr>
              <w:t>.</w:t>
            </w:r>
            <w:r>
              <w:rPr>
                <w:rFonts w:hint="eastAsia" w:eastAsia="仿宋_GB2312" w:cs="仿宋_GB2312"/>
                <w:sz w:val="24"/>
              </w:rPr>
              <w:t>二级机构2</w:t>
            </w:r>
          </w:p>
        </w:tc>
        <w:tc>
          <w:tcPr>
            <w:tcW w:w="1080" w:type="dxa"/>
            <w:tcBorders>
              <w:right w:val="single" w:color="auto" w:sz="4" w:space="0"/>
            </w:tcBorders>
            <w:noWrap w:val="0"/>
            <w:vAlign w:val="center"/>
          </w:tcPr>
          <w:p>
            <w:pPr>
              <w:autoSpaceDN w:val="0"/>
              <w:spacing w:line="320" w:lineRule="exact"/>
              <w:jc w:val="left"/>
              <w:textAlignment w:val="center"/>
              <w:rPr>
                <w:rFonts w:eastAsia="仿宋_GB2312" w:cs="仿宋_GB2312"/>
                <w:sz w:val="24"/>
              </w:rPr>
            </w:pPr>
          </w:p>
        </w:tc>
        <w:tc>
          <w:tcPr>
            <w:tcW w:w="1355" w:type="dxa"/>
            <w:gridSpan w:val="2"/>
            <w:tcBorders>
              <w:left w:val="single" w:color="auto" w:sz="4" w:space="0"/>
            </w:tcBorders>
            <w:noWrap w:val="0"/>
            <w:vAlign w:val="center"/>
          </w:tcPr>
          <w:p>
            <w:pPr>
              <w:autoSpaceDN w:val="0"/>
              <w:spacing w:line="320" w:lineRule="exact"/>
              <w:jc w:val="left"/>
              <w:textAlignment w:val="center"/>
              <w:rPr>
                <w:rFonts w:eastAsia="仿宋_GB2312" w:cs="仿宋_GB2312"/>
                <w:sz w:val="24"/>
              </w:rPr>
            </w:pPr>
          </w:p>
        </w:tc>
        <w:tc>
          <w:tcPr>
            <w:tcW w:w="1082" w:type="dxa"/>
            <w:gridSpan w:val="2"/>
            <w:noWrap w:val="0"/>
            <w:vAlign w:val="center"/>
          </w:tcPr>
          <w:p>
            <w:pPr>
              <w:autoSpaceDN w:val="0"/>
              <w:spacing w:line="320" w:lineRule="exact"/>
              <w:jc w:val="left"/>
              <w:textAlignment w:val="center"/>
              <w:rPr>
                <w:rFonts w:eastAsia="仿宋_GB2312" w:cs="仿宋_GB2312"/>
                <w:sz w:val="24"/>
              </w:rPr>
            </w:pPr>
          </w:p>
        </w:tc>
        <w:tc>
          <w:tcPr>
            <w:tcW w:w="1705" w:type="dxa"/>
            <w:gridSpan w:val="2"/>
            <w:noWrap w:val="0"/>
            <w:vAlign w:val="center"/>
          </w:tcPr>
          <w:p>
            <w:pPr>
              <w:autoSpaceDN w:val="0"/>
              <w:spacing w:line="320" w:lineRule="exact"/>
              <w:jc w:val="left"/>
              <w:textAlignment w:val="center"/>
              <w:rPr>
                <w:rFonts w:eastAsia="仿宋_GB2312" w:cs="仿宋_GB2312"/>
                <w:sz w:val="24"/>
              </w:rPr>
            </w:pPr>
          </w:p>
        </w:tc>
        <w:tc>
          <w:tcPr>
            <w:tcW w:w="1800" w:type="dxa"/>
            <w:gridSpan w:val="4"/>
            <w:noWrap w:val="0"/>
            <w:vAlign w:val="center"/>
          </w:tcPr>
          <w:p>
            <w:pPr>
              <w:autoSpaceDN w:val="0"/>
              <w:spacing w:line="320" w:lineRule="exact"/>
              <w:jc w:val="center"/>
              <w:textAlignment w:val="center"/>
              <w:rPr>
                <w:rFonts w:eastAsia="仿宋_GB2312" w:cs="仿宋_GB2312"/>
                <w:sz w:val="24"/>
              </w:rPr>
            </w:pPr>
          </w:p>
        </w:tc>
        <w:tc>
          <w:tcPr>
            <w:tcW w:w="1080" w:type="dxa"/>
            <w:gridSpan w:val="3"/>
            <w:noWrap w:val="0"/>
            <w:vAlign w:val="center"/>
          </w:tcPr>
          <w:p>
            <w:pPr>
              <w:autoSpaceDN w:val="0"/>
              <w:spacing w:line="320" w:lineRule="exact"/>
              <w:jc w:val="left"/>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94" w:hRule="atLeast"/>
          <w:jc w:val="center"/>
        </w:trPr>
        <w:tc>
          <w:tcPr>
            <w:tcW w:w="9800" w:type="dxa"/>
            <w:gridSpan w:val="17"/>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b/>
                <w:bCs/>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09" w:hRule="atLeast"/>
          <w:jc w:val="center"/>
        </w:trPr>
        <w:tc>
          <w:tcPr>
            <w:tcW w:w="1698" w:type="dxa"/>
            <w:gridSpan w:val="3"/>
            <w:vMerge w:val="restart"/>
            <w:noWrap w:val="0"/>
            <w:vAlign w:val="center"/>
          </w:tcPr>
          <w:p>
            <w:pPr>
              <w:snapToGrid w:val="0"/>
              <w:spacing w:line="320" w:lineRule="exact"/>
              <w:jc w:val="center"/>
              <w:rPr>
                <w:rFonts w:eastAsia="仿宋_GB2312" w:cs="仿宋_GB2312"/>
                <w:sz w:val="24"/>
              </w:rPr>
            </w:pPr>
            <w:r>
              <w:rPr>
                <w:rFonts w:hint="eastAsia"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支出合计</w:t>
            </w:r>
          </w:p>
        </w:tc>
        <w:tc>
          <w:tcPr>
            <w:tcW w:w="5677" w:type="dxa"/>
            <w:gridSpan w:val="9"/>
            <w:tcBorders>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其中：</w:t>
            </w:r>
          </w:p>
        </w:tc>
        <w:tc>
          <w:tcPr>
            <w:tcW w:w="1345" w:type="dxa"/>
            <w:gridSpan w:val="4"/>
            <w:tcBorders>
              <w:left w:val="single" w:color="auto" w:sz="4" w:space="0"/>
              <w:bottom w:val="single" w:color="auto" w:sz="4" w:space="0"/>
            </w:tcBorders>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60" w:hRule="atLeast"/>
          <w:jc w:val="center"/>
        </w:trPr>
        <w:tc>
          <w:tcPr>
            <w:tcW w:w="1698" w:type="dxa"/>
            <w:gridSpan w:val="3"/>
            <w:vMerge w:val="continue"/>
            <w:noWrap w:val="0"/>
            <w:vAlign w:val="center"/>
          </w:tcPr>
          <w:p>
            <w:pPr>
              <w:spacing w:line="320" w:lineRule="exact"/>
              <w:jc w:val="center"/>
              <w:rPr>
                <w:rFonts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eastAsia="仿宋_GB2312" w:cs="仿宋_GB2312"/>
                <w:sz w:val="24"/>
              </w:rPr>
            </w:pPr>
          </w:p>
        </w:tc>
        <w:tc>
          <w:tcPr>
            <w:tcW w:w="1355" w:type="dxa"/>
            <w:gridSpan w:val="2"/>
            <w:vMerge w:val="restart"/>
            <w:tcBorders>
              <w:top w:val="single" w:color="auto" w:sz="4" w:space="0"/>
              <w:left w:val="single" w:color="auto" w:sz="4" w:space="0"/>
            </w:tcBorders>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基本支出</w:t>
            </w:r>
          </w:p>
        </w:tc>
        <w:tc>
          <w:tcPr>
            <w:tcW w:w="3242" w:type="dxa"/>
            <w:gridSpan w:val="6"/>
            <w:tcBorders>
              <w:top w:val="single" w:color="auto" w:sz="4" w:space="0"/>
            </w:tcBorders>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其中：</w:t>
            </w:r>
          </w:p>
        </w:tc>
        <w:tc>
          <w:tcPr>
            <w:tcW w:w="1080" w:type="dxa"/>
            <w:vMerge w:val="restart"/>
            <w:tcBorders>
              <w:top w:val="single" w:color="auto" w:sz="4" w:space="0"/>
              <w:right w:val="single" w:color="auto" w:sz="4" w:space="0"/>
            </w:tcBorders>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项目支出</w:t>
            </w:r>
          </w:p>
        </w:tc>
        <w:tc>
          <w:tcPr>
            <w:tcW w:w="720" w:type="dxa"/>
            <w:gridSpan w:val="3"/>
            <w:vMerge w:val="restart"/>
            <w:tcBorders>
              <w:top w:val="single" w:color="auto" w:sz="4" w:space="0"/>
              <w:left w:val="single" w:color="auto" w:sz="4" w:space="0"/>
              <w:right w:val="single" w:color="auto" w:sz="4" w:space="0"/>
            </w:tcBorders>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当年结余</w:t>
            </w:r>
          </w:p>
        </w:tc>
        <w:tc>
          <w:tcPr>
            <w:tcW w:w="625" w:type="dxa"/>
            <w:vMerge w:val="restart"/>
            <w:tcBorders>
              <w:top w:val="single" w:color="auto" w:sz="4" w:space="0"/>
              <w:left w:val="single" w:color="auto" w:sz="4" w:space="0"/>
            </w:tcBorders>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49" w:hRule="atLeast"/>
          <w:jc w:val="center"/>
        </w:trPr>
        <w:tc>
          <w:tcPr>
            <w:tcW w:w="1698" w:type="dxa"/>
            <w:gridSpan w:val="3"/>
            <w:vMerge w:val="continue"/>
            <w:noWrap w:val="0"/>
            <w:vAlign w:val="center"/>
          </w:tcPr>
          <w:p>
            <w:pPr>
              <w:spacing w:line="320" w:lineRule="exact"/>
              <w:jc w:val="center"/>
              <w:rPr>
                <w:rFonts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eastAsia="仿宋_GB2312" w:cs="仿宋_GB2312"/>
                <w:sz w:val="24"/>
              </w:rPr>
            </w:pPr>
          </w:p>
        </w:tc>
        <w:tc>
          <w:tcPr>
            <w:tcW w:w="1355" w:type="dxa"/>
            <w:gridSpan w:val="2"/>
            <w:vMerge w:val="continue"/>
            <w:tcBorders>
              <w:left w:val="single" w:color="auto" w:sz="4" w:space="0"/>
            </w:tcBorders>
            <w:noWrap w:val="0"/>
            <w:vAlign w:val="center"/>
          </w:tcPr>
          <w:p>
            <w:pPr>
              <w:autoSpaceDN w:val="0"/>
              <w:spacing w:line="320" w:lineRule="exact"/>
              <w:jc w:val="center"/>
              <w:textAlignment w:val="center"/>
              <w:rPr>
                <w:rFonts w:eastAsia="仿宋_GB2312" w:cs="仿宋_GB2312"/>
                <w:sz w:val="24"/>
              </w:rPr>
            </w:pPr>
          </w:p>
        </w:tc>
        <w:tc>
          <w:tcPr>
            <w:tcW w:w="1082" w:type="dxa"/>
            <w:gridSpan w:val="2"/>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人员支出</w:t>
            </w:r>
          </w:p>
        </w:tc>
        <w:tc>
          <w:tcPr>
            <w:tcW w:w="2160" w:type="dxa"/>
            <w:gridSpan w:val="4"/>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公用支出</w:t>
            </w:r>
          </w:p>
        </w:tc>
        <w:tc>
          <w:tcPr>
            <w:tcW w:w="1080" w:type="dxa"/>
            <w:vMerge w:val="continue"/>
            <w:tcBorders>
              <w:right w:val="single" w:color="auto" w:sz="4" w:space="0"/>
            </w:tcBorders>
            <w:noWrap w:val="0"/>
            <w:vAlign w:val="center"/>
          </w:tcPr>
          <w:p>
            <w:pPr>
              <w:autoSpaceDN w:val="0"/>
              <w:spacing w:line="320" w:lineRule="exact"/>
              <w:jc w:val="center"/>
              <w:textAlignment w:val="center"/>
              <w:rPr>
                <w:rFonts w:eastAsia="仿宋_GB2312" w:cs="仿宋_GB2312"/>
                <w:sz w:val="24"/>
              </w:rPr>
            </w:pPr>
          </w:p>
        </w:tc>
        <w:tc>
          <w:tcPr>
            <w:tcW w:w="720" w:type="dxa"/>
            <w:gridSpan w:val="3"/>
            <w:vMerge w:val="continue"/>
            <w:tcBorders>
              <w:left w:val="single" w:color="auto" w:sz="4" w:space="0"/>
              <w:right w:val="single" w:color="auto" w:sz="4" w:space="0"/>
            </w:tcBorders>
            <w:noWrap w:val="0"/>
            <w:vAlign w:val="center"/>
          </w:tcPr>
          <w:p>
            <w:pPr>
              <w:autoSpaceDN w:val="0"/>
              <w:spacing w:line="320" w:lineRule="exact"/>
              <w:jc w:val="center"/>
              <w:textAlignment w:val="center"/>
              <w:rPr>
                <w:rFonts w:eastAsia="仿宋_GB2312" w:cs="仿宋_GB2312"/>
                <w:sz w:val="24"/>
              </w:rPr>
            </w:pPr>
          </w:p>
        </w:tc>
        <w:tc>
          <w:tcPr>
            <w:tcW w:w="625" w:type="dxa"/>
            <w:vMerge w:val="continue"/>
            <w:tcBorders>
              <w:left w:val="single" w:color="auto" w:sz="4" w:space="0"/>
            </w:tcBorders>
            <w:noWrap w:val="0"/>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698" w:type="dxa"/>
            <w:gridSpan w:val="3"/>
            <w:noWrap w:val="0"/>
            <w:vAlign w:val="center"/>
          </w:tcPr>
          <w:p>
            <w:pPr>
              <w:spacing w:line="320" w:lineRule="exact"/>
              <w:jc w:val="left"/>
              <w:rPr>
                <w:rFonts w:eastAsia="仿宋_GB2312" w:cs="仿宋_GB2312"/>
                <w:sz w:val="24"/>
              </w:rPr>
            </w:pPr>
            <w:r>
              <w:rPr>
                <w:rFonts w:hint="eastAsia" w:eastAsia="仿宋_GB2312" w:cs="仿宋_GB2312"/>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3028.07</w:t>
            </w:r>
          </w:p>
        </w:tc>
        <w:tc>
          <w:tcPr>
            <w:tcW w:w="1355" w:type="dxa"/>
            <w:gridSpan w:val="2"/>
            <w:tcBorders>
              <w:left w:val="single" w:color="auto" w:sz="4" w:space="0"/>
            </w:tcBorders>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848.48</w:t>
            </w:r>
          </w:p>
        </w:tc>
        <w:tc>
          <w:tcPr>
            <w:tcW w:w="1082" w:type="dxa"/>
            <w:gridSpan w:val="2"/>
            <w:noWrap w:val="0"/>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766.68</w:t>
            </w:r>
          </w:p>
        </w:tc>
        <w:tc>
          <w:tcPr>
            <w:tcW w:w="2160" w:type="dxa"/>
            <w:gridSpan w:val="4"/>
            <w:noWrap w:val="0"/>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81.8</w:t>
            </w:r>
          </w:p>
        </w:tc>
        <w:tc>
          <w:tcPr>
            <w:tcW w:w="1080" w:type="dxa"/>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2179.59</w:t>
            </w:r>
          </w:p>
        </w:tc>
        <w:tc>
          <w:tcPr>
            <w:tcW w:w="720" w:type="dxa"/>
            <w:gridSpan w:val="3"/>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625" w:type="dxa"/>
            <w:tcBorders>
              <w:left w:val="single" w:color="auto" w:sz="4" w:space="0"/>
            </w:tcBorders>
            <w:noWrap w:val="0"/>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noWrap w:val="0"/>
            <w:vAlign w:val="center"/>
          </w:tcPr>
          <w:p>
            <w:pPr>
              <w:spacing w:line="320" w:lineRule="exact"/>
              <w:jc w:val="left"/>
              <w:rPr>
                <w:rFonts w:eastAsia="仿宋_GB2312" w:cs="仿宋_GB2312"/>
                <w:sz w:val="24"/>
              </w:rPr>
            </w:pPr>
            <w:r>
              <w:rPr>
                <w:rFonts w:hint="eastAsia" w:eastAsia="仿宋_GB2312" w:cs="仿宋_GB2312"/>
                <w:sz w:val="24"/>
              </w:rPr>
              <w:t>1</w:t>
            </w:r>
            <w:r>
              <w:rPr>
                <w:rFonts w:hint="eastAsia" w:eastAsia="仿宋_GB2312" w:cs="仿宋_GB2312"/>
                <w:sz w:val="24"/>
                <w:lang w:val="en-US" w:eastAsia="zh-CN"/>
              </w:rPr>
              <w:t>.</w:t>
            </w:r>
            <w:r>
              <w:rPr>
                <w:rFonts w:hint="eastAsia" w:eastAsia="仿宋_GB2312" w:cs="仿宋_GB2312"/>
                <w:sz w:val="24"/>
              </w:rPr>
              <w:t>局机关</w:t>
            </w:r>
          </w:p>
        </w:tc>
        <w:tc>
          <w:tcPr>
            <w:tcW w:w="1080" w:type="dxa"/>
            <w:tcBorders>
              <w:right w:val="single" w:color="auto" w:sz="4" w:space="0"/>
            </w:tcBorders>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3028.07</w:t>
            </w:r>
          </w:p>
        </w:tc>
        <w:tc>
          <w:tcPr>
            <w:tcW w:w="1355" w:type="dxa"/>
            <w:gridSpan w:val="2"/>
            <w:tcBorders>
              <w:left w:val="single" w:color="auto" w:sz="4" w:space="0"/>
            </w:tcBorders>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848.48</w:t>
            </w:r>
          </w:p>
        </w:tc>
        <w:tc>
          <w:tcPr>
            <w:tcW w:w="1082" w:type="dxa"/>
            <w:gridSpan w:val="2"/>
            <w:noWrap w:val="0"/>
            <w:vAlign w:val="center"/>
          </w:tcPr>
          <w:p>
            <w:pPr>
              <w:autoSpaceDN w:val="0"/>
              <w:spacing w:line="320" w:lineRule="exact"/>
              <w:jc w:val="center"/>
              <w:textAlignment w:val="center"/>
              <w:rPr>
                <w:rFonts w:hint="default" w:ascii="Times New Roman" w:hAnsi="Times New Roman" w:eastAsia="仿宋_GB2312" w:cs="仿宋_GB2312"/>
                <w:kern w:val="2"/>
                <w:sz w:val="24"/>
                <w:szCs w:val="24"/>
                <w:lang w:val="en-US" w:eastAsia="zh-CN" w:bidi="ar-SA"/>
              </w:rPr>
            </w:pPr>
            <w:r>
              <w:rPr>
                <w:rFonts w:hint="eastAsia" w:eastAsia="仿宋_GB2312" w:cs="仿宋_GB2312"/>
                <w:sz w:val="24"/>
                <w:lang w:val="en-US" w:eastAsia="zh-CN"/>
              </w:rPr>
              <w:t>766.68</w:t>
            </w:r>
          </w:p>
        </w:tc>
        <w:tc>
          <w:tcPr>
            <w:tcW w:w="2160" w:type="dxa"/>
            <w:gridSpan w:val="4"/>
            <w:noWrap w:val="0"/>
            <w:vAlign w:val="center"/>
          </w:tcPr>
          <w:p>
            <w:pPr>
              <w:autoSpaceDN w:val="0"/>
              <w:spacing w:line="320" w:lineRule="exact"/>
              <w:jc w:val="center"/>
              <w:textAlignment w:val="center"/>
              <w:rPr>
                <w:rFonts w:hint="default" w:ascii="Times New Roman" w:hAnsi="Times New Roman" w:eastAsia="仿宋_GB2312" w:cs="仿宋_GB2312"/>
                <w:kern w:val="2"/>
                <w:sz w:val="24"/>
                <w:szCs w:val="24"/>
                <w:lang w:val="en-US" w:eastAsia="zh-CN" w:bidi="ar-SA"/>
              </w:rPr>
            </w:pPr>
            <w:r>
              <w:rPr>
                <w:rFonts w:hint="eastAsia" w:eastAsia="仿宋_GB2312" w:cs="仿宋_GB2312"/>
                <w:sz w:val="24"/>
                <w:lang w:val="en-US" w:eastAsia="zh-CN"/>
              </w:rPr>
              <w:t>81.8</w:t>
            </w:r>
          </w:p>
        </w:tc>
        <w:tc>
          <w:tcPr>
            <w:tcW w:w="1080" w:type="dxa"/>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2179.59</w:t>
            </w:r>
          </w:p>
        </w:tc>
        <w:tc>
          <w:tcPr>
            <w:tcW w:w="720" w:type="dxa"/>
            <w:gridSpan w:val="3"/>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625" w:type="dxa"/>
            <w:tcBorders>
              <w:left w:val="single" w:color="auto" w:sz="4" w:space="0"/>
            </w:tcBorders>
            <w:noWrap w:val="0"/>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noWrap w:val="0"/>
            <w:vAlign w:val="center"/>
          </w:tcPr>
          <w:p>
            <w:pPr>
              <w:spacing w:line="320" w:lineRule="exact"/>
              <w:jc w:val="left"/>
              <w:rPr>
                <w:rFonts w:eastAsia="仿宋_GB2312" w:cs="仿宋_GB2312"/>
                <w:sz w:val="24"/>
              </w:rPr>
            </w:pPr>
            <w:r>
              <w:rPr>
                <w:rFonts w:hint="eastAsia" w:eastAsia="仿宋_GB2312" w:cs="仿宋_GB2312"/>
                <w:sz w:val="24"/>
              </w:rPr>
              <w:t>2</w:t>
            </w:r>
            <w:r>
              <w:rPr>
                <w:rFonts w:hint="eastAsia" w:eastAsia="仿宋_GB2312" w:cs="仿宋_GB2312"/>
                <w:sz w:val="24"/>
                <w:lang w:val="en-US" w:eastAsia="zh-CN"/>
              </w:rPr>
              <w:t>.</w:t>
            </w:r>
            <w:r>
              <w:rPr>
                <w:rFonts w:hint="eastAsia" w:eastAsia="仿宋_GB2312" w:cs="仿宋_GB2312"/>
                <w:sz w:val="24"/>
              </w:rPr>
              <w:t>二级机构1</w:t>
            </w:r>
          </w:p>
        </w:tc>
        <w:tc>
          <w:tcPr>
            <w:tcW w:w="1080" w:type="dxa"/>
            <w:tcBorders>
              <w:right w:val="single" w:color="auto" w:sz="4" w:space="0"/>
            </w:tcBorders>
            <w:noWrap w:val="0"/>
            <w:vAlign w:val="center"/>
          </w:tcPr>
          <w:p>
            <w:pPr>
              <w:autoSpaceDN w:val="0"/>
              <w:spacing w:line="320" w:lineRule="exact"/>
              <w:jc w:val="center"/>
              <w:textAlignment w:val="center"/>
              <w:rPr>
                <w:rFonts w:eastAsia="仿宋_GB2312" w:cs="仿宋_GB2312"/>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eastAsia="仿宋_GB2312" w:cs="仿宋_GB2312"/>
                <w:sz w:val="24"/>
              </w:rPr>
            </w:pPr>
          </w:p>
        </w:tc>
        <w:tc>
          <w:tcPr>
            <w:tcW w:w="1082" w:type="dxa"/>
            <w:gridSpan w:val="2"/>
            <w:noWrap w:val="0"/>
            <w:vAlign w:val="center"/>
          </w:tcPr>
          <w:p>
            <w:pPr>
              <w:autoSpaceDN w:val="0"/>
              <w:spacing w:line="320" w:lineRule="exact"/>
              <w:jc w:val="center"/>
              <w:textAlignment w:val="center"/>
              <w:rPr>
                <w:rFonts w:eastAsia="仿宋_GB2312" w:cs="仿宋_GB2312"/>
                <w:sz w:val="24"/>
              </w:rPr>
            </w:pPr>
          </w:p>
        </w:tc>
        <w:tc>
          <w:tcPr>
            <w:tcW w:w="2160" w:type="dxa"/>
            <w:gridSpan w:val="4"/>
            <w:noWrap w:val="0"/>
            <w:vAlign w:val="center"/>
          </w:tcPr>
          <w:p>
            <w:pPr>
              <w:autoSpaceDN w:val="0"/>
              <w:spacing w:line="320" w:lineRule="exact"/>
              <w:jc w:val="center"/>
              <w:textAlignment w:val="center"/>
              <w:rPr>
                <w:rFonts w:eastAsia="仿宋_GB2312" w:cs="仿宋_GB2312"/>
                <w:sz w:val="24"/>
              </w:rPr>
            </w:pPr>
          </w:p>
        </w:tc>
        <w:tc>
          <w:tcPr>
            <w:tcW w:w="1080" w:type="dxa"/>
            <w:noWrap w:val="0"/>
            <w:vAlign w:val="center"/>
          </w:tcPr>
          <w:p>
            <w:pPr>
              <w:autoSpaceDN w:val="0"/>
              <w:spacing w:line="320" w:lineRule="exact"/>
              <w:jc w:val="center"/>
              <w:textAlignment w:val="center"/>
              <w:rPr>
                <w:rFonts w:eastAsia="仿宋_GB2312" w:cs="仿宋_GB2312"/>
                <w:sz w:val="24"/>
              </w:rPr>
            </w:pPr>
          </w:p>
        </w:tc>
        <w:tc>
          <w:tcPr>
            <w:tcW w:w="720" w:type="dxa"/>
            <w:gridSpan w:val="3"/>
            <w:tcBorders>
              <w:right w:val="single" w:color="auto" w:sz="4" w:space="0"/>
            </w:tcBorders>
            <w:noWrap w:val="0"/>
            <w:vAlign w:val="center"/>
          </w:tcPr>
          <w:p>
            <w:pPr>
              <w:autoSpaceDN w:val="0"/>
              <w:spacing w:line="320" w:lineRule="exact"/>
              <w:jc w:val="center"/>
              <w:textAlignment w:val="center"/>
              <w:rPr>
                <w:rFonts w:eastAsia="仿宋_GB2312" w:cs="仿宋_GB2312"/>
                <w:sz w:val="24"/>
              </w:rPr>
            </w:pPr>
          </w:p>
        </w:tc>
        <w:tc>
          <w:tcPr>
            <w:tcW w:w="625" w:type="dxa"/>
            <w:tcBorders>
              <w:left w:val="single" w:color="auto" w:sz="4" w:space="0"/>
            </w:tcBorders>
            <w:noWrap w:val="0"/>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noWrap w:val="0"/>
            <w:vAlign w:val="center"/>
          </w:tcPr>
          <w:p>
            <w:pPr>
              <w:spacing w:line="320" w:lineRule="exact"/>
              <w:jc w:val="left"/>
              <w:rPr>
                <w:rFonts w:eastAsia="仿宋_GB2312" w:cs="仿宋_GB2312"/>
                <w:sz w:val="24"/>
              </w:rPr>
            </w:pPr>
            <w:r>
              <w:rPr>
                <w:rFonts w:hint="eastAsia" w:eastAsia="仿宋_GB2312" w:cs="仿宋_GB2312"/>
                <w:sz w:val="24"/>
              </w:rPr>
              <w:t>3</w:t>
            </w:r>
            <w:r>
              <w:rPr>
                <w:rFonts w:hint="eastAsia" w:eastAsia="仿宋_GB2312" w:cs="仿宋_GB2312"/>
                <w:sz w:val="24"/>
                <w:lang w:val="en-US" w:eastAsia="zh-CN"/>
              </w:rPr>
              <w:t>.</w:t>
            </w:r>
            <w:r>
              <w:rPr>
                <w:rFonts w:hint="eastAsia" w:eastAsia="仿宋_GB2312" w:cs="仿宋_GB2312"/>
                <w:sz w:val="24"/>
              </w:rPr>
              <w:t>二级机构2</w:t>
            </w:r>
          </w:p>
        </w:tc>
        <w:tc>
          <w:tcPr>
            <w:tcW w:w="1080" w:type="dxa"/>
            <w:tcBorders>
              <w:right w:val="single" w:color="auto" w:sz="4" w:space="0"/>
            </w:tcBorders>
            <w:noWrap w:val="0"/>
            <w:vAlign w:val="center"/>
          </w:tcPr>
          <w:p>
            <w:pPr>
              <w:autoSpaceDN w:val="0"/>
              <w:spacing w:line="320" w:lineRule="exact"/>
              <w:jc w:val="center"/>
              <w:textAlignment w:val="center"/>
              <w:rPr>
                <w:rFonts w:eastAsia="仿宋_GB2312" w:cs="仿宋_GB2312"/>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eastAsia="仿宋_GB2312" w:cs="仿宋_GB2312"/>
                <w:sz w:val="24"/>
              </w:rPr>
            </w:pPr>
          </w:p>
        </w:tc>
        <w:tc>
          <w:tcPr>
            <w:tcW w:w="1082" w:type="dxa"/>
            <w:gridSpan w:val="2"/>
            <w:noWrap w:val="0"/>
            <w:vAlign w:val="center"/>
          </w:tcPr>
          <w:p>
            <w:pPr>
              <w:autoSpaceDN w:val="0"/>
              <w:spacing w:line="320" w:lineRule="exact"/>
              <w:jc w:val="center"/>
              <w:textAlignment w:val="center"/>
              <w:rPr>
                <w:rFonts w:eastAsia="仿宋_GB2312" w:cs="仿宋_GB2312"/>
                <w:sz w:val="24"/>
              </w:rPr>
            </w:pPr>
          </w:p>
        </w:tc>
        <w:tc>
          <w:tcPr>
            <w:tcW w:w="2160" w:type="dxa"/>
            <w:gridSpan w:val="4"/>
            <w:noWrap w:val="0"/>
            <w:vAlign w:val="center"/>
          </w:tcPr>
          <w:p>
            <w:pPr>
              <w:autoSpaceDN w:val="0"/>
              <w:spacing w:line="320" w:lineRule="exact"/>
              <w:jc w:val="center"/>
              <w:textAlignment w:val="center"/>
              <w:rPr>
                <w:rFonts w:eastAsia="仿宋_GB2312" w:cs="仿宋_GB2312"/>
                <w:sz w:val="24"/>
              </w:rPr>
            </w:pPr>
          </w:p>
        </w:tc>
        <w:tc>
          <w:tcPr>
            <w:tcW w:w="1080" w:type="dxa"/>
            <w:noWrap w:val="0"/>
            <w:vAlign w:val="center"/>
          </w:tcPr>
          <w:p>
            <w:pPr>
              <w:autoSpaceDN w:val="0"/>
              <w:spacing w:line="320" w:lineRule="exact"/>
              <w:jc w:val="center"/>
              <w:textAlignment w:val="center"/>
              <w:rPr>
                <w:rFonts w:eastAsia="仿宋_GB2312" w:cs="仿宋_GB2312"/>
                <w:sz w:val="24"/>
              </w:rPr>
            </w:pPr>
          </w:p>
        </w:tc>
        <w:tc>
          <w:tcPr>
            <w:tcW w:w="720" w:type="dxa"/>
            <w:gridSpan w:val="3"/>
            <w:tcBorders>
              <w:right w:val="single" w:color="auto" w:sz="4" w:space="0"/>
            </w:tcBorders>
            <w:noWrap w:val="0"/>
            <w:vAlign w:val="center"/>
          </w:tcPr>
          <w:p>
            <w:pPr>
              <w:autoSpaceDN w:val="0"/>
              <w:spacing w:line="320" w:lineRule="exact"/>
              <w:jc w:val="center"/>
              <w:textAlignment w:val="center"/>
              <w:rPr>
                <w:rFonts w:eastAsia="仿宋_GB2312" w:cs="仿宋_GB2312"/>
                <w:sz w:val="24"/>
              </w:rPr>
            </w:pPr>
          </w:p>
        </w:tc>
        <w:tc>
          <w:tcPr>
            <w:tcW w:w="625" w:type="dxa"/>
            <w:tcBorders>
              <w:left w:val="single" w:color="auto" w:sz="4" w:space="0"/>
            </w:tcBorders>
            <w:noWrap w:val="0"/>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4" w:hRule="atLeast"/>
          <w:jc w:val="center"/>
        </w:trPr>
        <w:tc>
          <w:tcPr>
            <w:tcW w:w="1698" w:type="dxa"/>
            <w:gridSpan w:val="3"/>
            <w:vMerge w:val="restart"/>
            <w:noWrap w:val="0"/>
            <w:vAlign w:val="center"/>
          </w:tcPr>
          <w:p>
            <w:pPr>
              <w:spacing w:line="320" w:lineRule="exact"/>
              <w:jc w:val="center"/>
              <w:rPr>
                <w:rFonts w:eastAsia="仿宋_GB2312" w:cs="仿宋_GB2312"/>
                <w:sz w:val="24"/>
              </w:rPr>
            </w:pPr>
            <w:r>
              <w:rPr>
                <w:rFonts w:hint="eastAsia"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三公经费</w:t>
            </w:r>
          </w:p>
          <w:p>
            <w:pPr>
              <w:autoSpaceDN w:val="0"/>
              <w:spacing w:line="320" w:lineRule="exact"/>
              <w:jc w:val="center"/>
              <w:textAlignment w:val="center"/>
              <w:rPr>
                <w:rFonts w:eastAsia="仿宋_GB2312" w:cs="仿宋_GB2312"/>
                <w:sz w:val="24"/>
              </w:rPr>
            </w:pPr>
            <w:r>
              <w:rPr>
                <w:rFonts w:hint="eastAsia" w:eastAsia="仿宋_GB2312" w:cs="仿宋_GB2312"/>
                <w:sz w:val="24"/>
              </w:rPr>
              <w:t>合计</w:t>
            </w:r>
          </w:p>
        </w:tc>
        <w:tc>
          <w:tcPr>
            <w:tcW w:w="7022" w:type="dxa"/>
            <w:gridSpan w:val="13"/>
            <w:tcBorders>
              <w:left w:val="single" w:color="auto" w:sz="4" w:space="0"/>
            </w:tcBorders>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vMerge w:val="continue"/>
            <w:noWrap w:val="0"/>
            <w:vAlign w:val="center"/>
          </w:tcPr>
          <w:p>
            <w:pPr>
              <w:spacing w:line="320" w:lineRule="exact"/>
              <w:jc w:val="center"/>
              <w:rPr>
                <w:rFonts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eastAsia="仿宋_GB2312" w:cs="仿宋_GB2312"/>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公务接待费</w:t>
            </w:r>
          </w:p>
        </w:tc>
        <w:tc>
          <w:tcPr>
            <w:tcW w:w="1082" w:type="dxa"/>
            <w:gridSpan w:val="2"/>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公务用车运行维护费</w:t>
            </w:r>
          </w:p>
        </w:tc>
        <w:tc>
          <w:tcPr>
            <w:tcW w:w="2160" w:type="dxa"/>
            <w:gridSpan w:val="4"/>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公务用车购置费</w:t>
            </w:r>
          </w:p>
        </w:tc>
        <w:tc>
          <w:tcPr>
            <w:tcW w:w="2425" w:type="dxa"/>
            <w:gridSpan w:val="5"/>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因公出国（</w:t>
            </w:r>
            <w:r>
              <w:rPr>
                <w:rFonts w:hint="eastAsia" w:cs="宋体"/>
                <w:sz w:val="24"/>
              </w:rPr>
              <w:t>境）</w:t>
            </w:r>
            <w:r>
              <w:rPr>
                <w:rFonts w:hint="eastAsia" w:eastAsia="仿宋_GB2312" w:cs="仿宋_GB2312"/>
                <w:sz w:val="24"/>
              </w:rPr>
              <w:t>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698" w:type="dxa"/>
            <w:gridSpan w:val="3"/>
            <w:noWrap w:val="0"/>
            <w:vAlign w:val="center"/>
          </w:tcPr>
          <w:p>
            <w:pPr>
              <w:spacing w:line="320" w:lineRule="exact"/>
              <w:jc w:val="left"/>
              <w:rPr>
                <w:rFonts w:eastAsia="仿宋_GB2312" w:cs="仿宋_GB2312"/>
                <w:sz w:val="24"/>
              </w:rPr>
            </w:pPr>
            <w:r>
              <w:rPr>
                <w:rFonts w:hint="eastAsia" w:eastAsia="仿宋_GB2312" w:cs="仿宋_GB2312"/>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23.43</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0.65</w:t>
            </w:r>
          </w:p>
        </w:tc>
        <w:tc>
          <w:tcPr>
            <w:tcW w:w="1082" w:type="dxa"/>
            <w:gridSpan w:val="2"/>
            <w:noWrap w:val="0"/>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4.8</w:t>
            </w:r>
          </w:p>
        </w:tc>
        <w:tc>
          <w:tcPr>
            <w:tcW w:w="2160" w:type="dxa"/>
            <w:gridSpan w:val="4"/>
            <w:noWrap w:val="0"/>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17.98</w:t>
            </w:r>
          </w:p>
        </w:tc>
        <w:tc>
          <w:tcPr>
            <w:tcW w:w="2425" w:type="dxa"/>
            <w:gridSpan w:val="5"/>
            <w:noWrap w:val="0"/>
            <w:vAlign w:val="center"/>
          </w:tcPr>
          <w:p>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09" w:hRule="atLeast"/>
          <w:jc w:val="center"/>
        </w:trPr>
        <w:tc>
          <w:tcPr>
            <w:tcW w:w="1698" w:type="dxa"/>
            <w:gridSpan w:val="3"/>
            <w:noWrap w:val="0"/>
            <w:vAlign w:val="center"/>
          </w:tcPr>
          <w:p>
            <w:pPr>
              <w:spacing w:line="320" w:lineRule="exact"/>
              <w:jc w:val="left"/>
              <w:rPr>
                <w:rFonts w:eastAsia="仿宋_GB2312" w:cs="仿宋_GB2312"/>
                <w:sz w:val="24"/>
              </w:rPr>
            </w:pPr>
            <w:r>
              <w:rPr>
                <w:rFonts w:hint="eastAsia" w:eastAsia="仿宋_GB2312" w:cs="仿宋_GB2312"/>
                <w:sz w:val="24"/>
              </w:rPr>
              <w:t>1</w:t>
            </w:r>
            <w:r>
              <w:rPr>
                <w:rFonts w:hint="eastAsia" w:eastAsia="仿宋_GB2312" w:cs="仿宋_GB2312"/>
                <w:sz w:val="24"/>
                <w:lang w:val="en-US" w:eastAsia="zh-CN"/>
              </w:rPr>
              <w:t>.</w:t>
            </w:r>
            <w:r>
              <w:rPr>
                <w:rFonts w:hint="eastAsia" w:eastAsia="仿宋_GB2312" w:cs="仿宋_GB2312"/>
                <w:sz w:val="24"/>
              </w:rPr>
              <w:t>局机关</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Times New Roman" w:hAnsi="Times New Roman" w:eastAsia="仿宋_GB2312" w:cs="仿宋_GB2312"/>
                <w:kern w:val="2"/>
                <w:sz w:val="24"/>
                <w:szCs w:val="24"/>
                <w:lang w:val="en-US" w:eastAsia="zh-CN" w:bidi="ar-SA"/>
              </w:rPr>
            </w:pPr>
            <w:r>
              <w:rPr>
                <w:rFonts w:hint="eastAsia" w:eastAsia="仿宋_GB2312" w:cs="仿宋_GB2312"/>
                <w:sz w:val="24"/>
                <w:lang w:val="en-US" w:eastAsia="zh-CN"/>
              </w:rPr>
              <w:t>23.43</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Times New Roman" w:hAnsi="Times New Roman" w:eastAsia="仿宋_GB2312" w:cs="仿宋_GB2312"/>
                <w:kern w:val="2"/>
                <w:sz w:val="24"/>
                <w:szCs w:val="24"/>
                <w:lang w:val="en-US" w:eastAsia="zh-CN" w:bidi="ar-SA"/>
              </w:rPr>
            </w:pPr>
            <w:r>
              <w:rPr>
                <w:rFonts w:hint="eastAsia" w:eastAsia="仿宋_GB2312" w:cs="仿宋_GB2312"/>
                <w:sz w:val="24"/>
                <w:lang w:val="en-US" w:eastAsia="zh-CN"/>
              </w:rPr>
              <w:t>0.65</w:t>
            </w:r>
          </w:p>
        </w:tc>
        <w:tc>
          <w:tcPr>
            <w:tcW w:w="1082" w:type="dxa"/>
            <w:gridSpan w:val="2"/>
            <w:noWrap w:val="0"/>
            <w:vAlign w:val="center"/>
          </w:tcPr>
          <w:p>
            <w:pPr>
              <w:autoSpaceDN w:val="0"/>
              <w:spacing w:line="320" w:lineRule="exact"/>
              <w:jc w:val="center"/>
              <w:textAlignment w:val="center"/>
              <w:rPr>
                <w:rFonts w:hint="default" w:ascii="Times New Roman" w:hAnsi="Times New Roman" w:eastAsia="仿宋_GB2312" w:cs="仿宋_GB2312"/>
                <w:kern w:val="2"/>
                <w:sz w:val="24"/>
                <w:szCs w:val="24"/>
                <w:lang w:val="en-US" w:eastAsia="zh-CN" w:bidi="ar-SA"/>
              </w:rPr>
            </w:pPr>
            <w:r>
              <w:rPr>
                <w:rFonts w:hint="eastAsia" w:eastAsia="仿宋_GB2312" w:cs="仿宋_GB2312"/>
                <w:sz w:val="24"/>
                <w:lang w:val="en-US" w:eastAsia="zh-CN"/>
              </w:rPr>
              <w:t>4.8</w:t>
            </w:r>
          </w:p>
        </w:tc>
        <w:tc>
          <w:tcPr>
            <w:tcW w:w="2160" w:type="dxa"/>
            <w:gridSpan w:val="4"/>
            <w:noWrap w:val="0"/>
            <w:vAlign w:val="center"/>
          </w:tcPr>
          <w:p>
            <w:pPr>
              <w:autoSpaceDN w:val="0"/>
              <w:spacing w:line="320" w:lineRule="exact"/>
              <w:jc w:val="center"/>
              <w:textAlignment w:val="center"/>
              <w:rPr>
                <w:rFonts w:hint="default" w:ascii="Times New Roman" w:hAnsi="Times New Roman" w:eastAsia="仿宋_GB2312" w:cs="仿宋_GB2312"/>
                <w:kern w:val="2"/>
                <w:sz w:val="24"/>
                <w:szCs w:val="24"/>
                <w:lang w:val="en-US" w:eastAsia="zh-CN" w:bidi="ar-SA"/>
              </w:rPr>
            </w:pPr>
            <w:r>
              <w:rPr>
                <w:rFonts w:hint="eastAsia" w:eastAsia="仿宋_GB2312" w:cs="仿宋_GB2312"/>
                <w:sz w:val="24"/>
                <w:lang w:val="en-US" w:eastAsia="zh-CN"/>
              </w:rPr>
              <w:t>17.98</w:t>
            </w:r>
          </w:p>
        </w:tc>
        <w:tc>
          <w:tcPr>
            <w:tcW w:w="2425" w:type="dxa"/>
            <w:gridSpan w:val="5"/>
            <w:noWrap w:val="0"/>
            <w:vAlign w:val="center"/>
          </w:tcPr>
          <w:p>
            <w:pPr>
              <w:autoSpaceDN w:val="0"/>
              <w:spacing w:line="320" w:lineRule="exact"/>
              <w:jc w:val="center"/>
              <w:textAlignment w:val="center"/>
              <w:rPr>
                <w:rFonts w:hint="eastAsia" w:ascii="Times New Roman" w:hAnsi="Times New Roman" w:eastAsia="仿宋_GB2312" w:cs="仿宋_GB2312"/>
                <w:kern w:val="2"/>
                <w:sz w:val="24"/>
                <w:szCs w:val="24"/>
                <w:lang w:val="en-US" w:eastAsia="zh-CN" w:bidi="ar-SA"/>
              </w:rPr>
            </w:pPr>
            <w:r>
              <w:rPr>
                <w:rFonts w:hint="eastAsia" w:eastAsia="仿宋_GB2312" w:cs="仿宋_GB2312"/>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noWrap w:val="0"/>
            <w:vAlign w:val="center"/>
          </w:tcPr>
          <w:p>
            <w:pPr>
              <w:spacing w:line="320" w:lineRule="exact"/>
              <w:jc w:val="left"/>
              <w:rPr>
                <w:rFonts w:eastAsia="仿宋_GB2312" w:cs="仿宋_GB2312"/>
                <w:sz w:val="24"/>
              </w:rPr>
            </w:pPr>
            <w:r>
              <w:rPr>
                <w:rFonts w:hint="eastAsia" w:eastAsia="仿宋_GB2312" w:cs="仿宋_GB2312"/>
                <w:sz w:val="24"/>
              </w:rPr>
              <w:t>2</w:t>
            </w:r>
            <w:r>
              <w:rPr>
                <w:rFonts w:hint="eastAsia" w:eastAsia="仿宋_GB2312" w:cs="仿宋_GB2312"/>
                <w:sz w:val="24"/>
                <w:lang w:val="en-US" w:eastAsia="zh-CN"/>
              </w:rPr>
              <w:t>.</w:t>
            </w:r>
            <w:r>
              <w:rPr>
                <w:rFonts w:hint="eastAsia" w:eastAsia="仿宋_GB2312" w:cs="仿宋_GB2312"/>
                <w:sz w:val="24"/>
              </w:rPr>
              <w:t>二级机构1</w:t>
            </w:r>
          </w:p>
        </w:tc>
        <w:tc>
          <w:tcPr>
            <w:tcW w:w="1080" w:type="dxa"/>
            <w:tcBorders>
              <w:right w:val="single" w:color="auto" w:sz="4" w:space="0"/>
            </w:tcBorders>
            <w:noWrap w:val="0"/>
            <w:vAlign w:val="center"/>
          </w:tcPr>
          <w:p>
            <w:pPr>
              <w:autoSpaceDN w:val="0"/>
              <w:spacing w:line="320" w:lineRule="exact"/>
              <w:jc w:val="center"/>
              <w:textAlignment w:val="center"/>
              <w:rPr>
                <w:rFonts w:eastAsia="仿宋_GB2312" w:cs="仿宋_GB2312"/>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eastAsia="仿宋_GB2312" w:cs="仿宋_GB2312"/>
                <w:sz w:val="24"/>
              </w:rPr>
            </w:pPr>
          </w:p>
        </w:tc>
        <w:tc>
          <w:tcPr>
            <w:tcW w:w="1082" w:type="dxa"/>
            <w:gridSpan w:val="2"/>
            <w:noWrap w:val="0"/>
            <w:vAlign w:val="center"/>
          </w:tcPr>
          <w:p>
            <w:pPr>
              <w:autoSpaceDN w:val="0"/>
              <w:spacing w:line="320" w:lineRule="exact"/>
              <w:jc w:val="center"/>
              <w:textAlignment w:val="center"/>
              <w:rPr>
                <w:rFonts w:eastAsia="仿宋_GB2312" w:cs="仿宋_GB2312"/>
                <w:sz w:val="24"/>
              </w:rPr>
            </w:pPr>
          </w:p>
        </w:tc>
        <w:tc>
          <w:tcPr>
            <w:tcW w:w="2160" w:type="dxa"/>
            <w:gridSpan w:val="4"/>
            <w:noWrap w:val="0"/>
            <w:vAlign w:val="center"/>
          </w:tcPr>
          <w:p>
            <w:pPr>
              <w:autoSpaceDN w:val="0"/>
              <w:spacing w:line="320" w:lineRule="exact"/>
              <w:jc w:val="center"/>
              <w:textAlignment w:val="center"/>
              <w:rPr>
                <w:rFonts w:eastAsia="仿宋_GB2312" w:cs="仿宋_GB2312"/>
                <w:sz w:val="24"/>
              </w:rPr>
            </w:pPr>
          </w:p>
        </w:tc>
        <w:tc>
          <w:tcPr>
            <w:tcW w:w="2425" w:type="dxa"/>
            <w:gridSpan w:val="5"/>
            <w:noWrap w:val="0"/>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noWrap w:val="0"/>
            <w:vAlign w:val="center"/>
          </w:tcPr>
          <w:p>
            <w:pPr>
              <w:spacing w:line="320" w:lineRule="exact"/>
              <w:jc w:val="left"/>
              <w:rPr>
                <w:rFonts w:eastAsia="仿宋_GB2312" w:cs="仿宋_GB2312"/>
                <w:sz w:val="24"/>
              </w:rPr>
            </w:pPr>
            <w:r>
              <w:rPr>
                <w:rFonts w:hint="eastAsia" w:eastAsia="仿宋_GB2312" w:cs="仿宋_GB2312"/>
                <w:sz w:val="24"/>
              </w:rPr>
              <w:t>3</w:t>
            </w:r>
            <w:r>
              <w:rPr>
                <w:rFonts w:hint="eastAsia" w:eastAsia="仿宋_GB2312" w:cs="仿宋_GB2312"/>
                <w:sz w:val="24"/>
                <w:lang w:val="en-US" w:eastAsia="zh-CN"/>
              </w:rPr>
              <w:t>.</w:t>
            </w:r>
            <w:r>
              <w:rPr>
                <w:rFonts w:hint="eastAsia" w:eastAsia="仿宋_GB2312" w:cs="仿宋_GB2312"/>
                <w:sz w:val="24"/>
              </w:rPr>
              <w:t>二级机构2</w:t>
            </w:r>
          </w:p>
        </w:tc>
        <w:tc>
          <w:tcPr>
            <w:tcW w:w="1080" w:type="dxa"/>
            <w:tcBorders>
              <w:right w:val="single" w:color="auto" w:sz="4" w:space="0"/>
            </w:tcBorders>
            <w:noWrap w:val="0"/>
            <w:vAlign w:val="center"/>
          </w:tcPr>
          <w:p>
            <w:pPr>
              <w:autoSpaceDN w:val="0"/>
              <w:spacing w:line="320" w:lineRule="exact"/>
              <w:jc w:val="center"/>
              <w:textAlignment w:val="center"/>
              <w:rPr>
                <w:rFonts w:eastAsia="仿宋_GB2312" w:cs="仿宋_GB2312"/>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eastAsia="仿宋_GB2312" w:cs="仿宋_GB2312"/>
                <w:sz w:val="24"/>
              </w:rPr>
            </w:pPr>
          </w:p>
        </w:tc>
        <w:tc>
          <w:tcPr>
            <w:tcW w:w="1082" w:type="dxa"/>
            <w:gridSpan w:val="2"/>
            <w:noWrap w:val="0"/>
            <w:vAlign w:val="center"/>
          </w:tcPr>
          <w:p>
            <w:pPr>
              <w:autoSpaceDN w:val="0"/>
              <w:spacing w:line="320" w:lineRule="exact"/>
              <w:jc w:val="center"/>
              <w:textAlignment w:val="center"/>
              <w:rPr>
                <w:rFonts w:eastAsia="仿宋_GB2312" w:cs="仿宋_GB2312"/>
                <w:sz w:val="24"/>
              </w:rPr>
            </w:pPr>
          </w:p>
        </w:tc>
        <w:tc>
          <w:tcPr>
            <w:tcW w:w="2160" w:type="dxa"/>
            <w:gridSpan w:val="4"/>
            <w:noWrap w:val="0"/>
            <w:vAlign w:val="center"/>
          </w:tcPr>
          <w:p>
            <w:pPr>
              <w:autoSpaceDN w:val="0"/>
              <w:spacing w:line="320" w:lineRule="exact"/>
              <w:jc w:val="center"/>
              <w:textAlignment w:val="center"/>
              <w:rPr>
                <w:rFonts w:eastAsia="仿宋_GB2312" w:cs="仿宋_GB2312"/>
                <w:sz w:val="24"/>
              </w:rPr>
            </w:pPr>
          </w:p>
        </w:tc>
        <w:tc>
          <w:tcPr>
            <w:tcW w:w="2425" w:type="dxa"/>
            <w:gridSpan w:val="5"/>
            <w:noWrap w:val="0"/>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94" w:hRule="atLeast"/>
          <w:jc w:val="center"/>
        </w:trPr>
        <w:tc>
          <w:tcPr>
            <w:tcW w:w="1698" w:type="dxa"/>
            <w:gridSpan w:val="3"/>
            <w:vMerge w:val="restart"/>
            <w:noWrap w:val="0"/>
            <w:vAlign w:val="center"/>
          </w:tcPr>
          <w:p>
            <w:pPr>
              <w:spacing w:line="320" w:lineRule="exact"/>
              <w:jc w:val="center"/>
              <w:rPr>
                <w:rFonts w:eastAsia="仿宋_GB2312" w:cs="仿宋_GB2312"/>
                <w:sz w:val="24"/>
              </w:rPr>
            </w:pPr>
            <w:r>
              <w:rPr>
                <w:rFonts w:hint="eastAsia"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固定资产</w:t>
            </w:r>
          </w:p>
          <w:p>
            <w:pPr>
              <w:autoSpaceDN w:val="0"/>
              <w:spacing w:line="320" w:lineRule="exact"/>
              <w:jc w:val="center"/>
              <w:textAlignment w:val="center"/>
              <w:rPr>
                <w:rFonts w:eastAsia="仿宋_GB2312" w:cs="仿宋_GB2312"/>
                <w:sz w:val="24"/>
              </w:rPr>
            </w:pPr>
            <w:r>
              <w:rPr>
                <w:rFonts w:hint="eastAsia" w:eastAsia="仿宋_GB2312" w:cs="仿宋_GB2312"/>
                <w:sz w:val="24"/>
              </w:rPr>
              <w:t>合计</w:t>
            </w:r>
          </w:p>
        </w:tc>
        <w:tc>
          <w:tcPr>
            <w:tcW w:w="7022" w:type="dxa"/>
            <w:gridSpan w:val="13"/>
            <w:tcBorders>
              <w:left w:val="single" w:color="auto" w:sz="4" w:space="0"/>
            </w:tcBorders>
            <w:noWrap w:val="0"/>
            <w:vAlign w:val="center"/>
          </w:tcPr>
          <w:p>
            <w:pPr>
              <w:autoSpaceDN w:val="0"/>
              <w:spacing w:line="320" w:lineRule="exact"/>
              <w:ind w:firstLine="2160" w:firstLineChars="900"/>
              <w:textAlignment w:val="center"/>
              <w:rPr>
                <w:rFonts w:eastAsia="仿宋_GB2312" w:cs="仿宋_GB2312"/>
                <w:sz w:val="24"/>
              </w:rPr>
            </w:pPr>
            <w:r>
              <w:rPr>
                <w:rFonts w:hint="eastAsia" w:eastAsia="仿宋_GB2312" w:cs="仿宋_GB2312"/>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79" w:hRule="atLeast"/>
          <w:jc w:val="center"/>
        </w:trPr>
        <w:tc>
          <w:tcPr>
            <w:tcW w:w="1698" w:type="dxa"/>
            <w:gridSpan w:val="3"/>
            <w:vMerge w:val="continue"/>
            <w:noWrap w:val="0"/>
            <w:vAlign w:val="center"/>
          </w:tcPr>
          <w:p>
            <w:pPr>
              <w:spacing w:line="320" w:lineRule="exact"/>
              <w:jc w:val="center"/>
              <w:rPr>
                <w:rFonts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eastAsia="仿宋_GB2312" w:cs="仿宋_GB2312"/>
                <w:sz w:val="24"/>
              </w:rPr>
            </w:pPr>
          </w:p>
        </w:tc>
        <w:tc>
          <w:tcPr>
            <w:tcW w:w="2437" w:type="dxa"/>
            <w:gridSpan w:val="4"/>
            <w:tcBorders>
              <w:left w:val="single" w:color="auto" w:sz="4" w:space="0"/>
            </w:tcBorders>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在用固定资产</w:t>
            </w:r>
          </w:p>
        </w:tc>
        <w:tc>
          <w:tcPr>
            <w:tcW w:w="3644" w:type="dxa"/>
            <w:gridSpan w:val="7"/>
            <w:tcBorders>
              <w:top w:val="single" w:color="auto" w:sz="4" w:space="0"/>
              <w:right w:val="single" w:color="auto" w:sz="4" w:space="0"/>
            </w:tcBorders>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出租固定资产</w:t>
            </w:r>
          </w:p>
        </w:tc>
        <w:tc>
          <w:tcPr>
            <w:tcW w:w="941" w:type="dxa"/>
            <w:gridSpan w:val="2"/>
            <w:tcBorders>
              <w:top w:val="single" w:color="auto" w:sz="4" w:space="0"/>
              <w:left w:val="single" w:color="auto" w:sz="4" w:space="0"/>
            </w:tcBorders>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698" w:type="dxa"/>
            <w:gridSpan w:val="3"/>
            <w:noWrap w:val="0"/>
            <w:vAlign w:val="center"/>
          </w:tcPr>
          <w:p>
            <w:pPr>
              <w:spacing w:line="320" w:lineRule="exact"/>
              <w:jc w:val="left"/>
              <w:rPr>
                <w:rFonts w:eastAsia="仿宋_GB2312" w:cs="仿宋_GB2312"/>
                <w:sz w:val="24"/>
              </w:rPr>
            </w:pPr>
            <w:r>
              <w:rPr>
                <w:rFonts w:hint="eastAsia" w:eastAsia="仿宋_GB2312" w:cs="仿宋_GB2312"/>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1312.94</w:t>
            </w:r>
          </w:p>
        </w:tc>
        <w:tc>
          <w:tcPr>
            <w:tcW w:w="2437" w:type="dxa"/>
            <w:gridSpan w:val="4"/>
            <w:tcBorders>
              <w:left w:val="single" w:color="auto" w:sz="4" w:space="0"/>
            </w:tcBorders>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lang w:val="en-US" w:eastAsia="zh-CN"/>
              </w:rPr>
              <w:t>1312.94</w:t>
            </w:r>
          </w:p>
        </w:tc>
        <w:tc>
          <w:tcPr>
            <w:tcW w:w="3644" w:type="dxa"/>
            <w:gridSpan w:val="7"/>
            <w:noWrap w:val="0"/>
            <w:vAlign w:val="center"/>
          </w:tcPr>
          <w:p>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941" w:type="dxa"/>
            <w:gridSpan w:val="2"/>
            <w:noWrap w:val="0"/>
            <w:vAlign w:val="center"/>
          </w:tcPr>
          <w:p>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noWrap w:val="0"/>
            <w:vAlign w:val="center"/>
          </w:tcPr>
          <w:p>
            <w:pPr>
              <w:spacing w:line="320" w:lineRule="exact"/>
              <w:jc w:val="left"/>
              <w:rPr>
                <w:rFonts w:eastAsia="仿宋_GB2312" w:cs="仿宋_GB2312"/>
                <w:sz w:val="24"/>
              </w:rPr>
            </w:pPr>
            <w:r>
              <w:rPr>
                <w:rFonts w:hint="eastAsia" w:eastAsia="仿宋_GB2312" w:cs="仿宋_GB2312"/>
                <w:sz w:val="24"/>
              </w:rPr>
              <w:t>1</w:t>
            </w:r>
            <w:r>
              <w:rPr>
                <w:rFonts w:hint="eastAsia" w:eastAsia="仿宋_GB2312" w:cs="仿宋_GB2312"/>
                <w:sz w:val="24"/>
                <w:lang w:val="en-US" w:eastAsia="zh-CN"/>
              </w:rPr>
              <w:t>.</w:t>
            </w:r>
            <w:r>
              <w:rPr>
                <w:rFonts w:hint="eastAsia" w:eastAsia="仿宋_GB2312" w:cs="仿宋_GB2312"/>
                <w:sz w:val="24"/>
              </w:rPr>
              <w:t>局机关</w:t>
            </w:r>
          </w:p>
        </w:tc>
        <w:tc>
          <w:tcPr>
            <w:tcW w:w="1080" w:type="dxa"/>
            <w:tcBorders>
              <w:right w:val="single" w:color="auto" w:sz="4" w:space="0"/>
            </w:tcBorders>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lang w:val="en-US" w:eastAsia="zh-CN"/>
              </w:rPr>
              <w:t>1312.94</w:t>
            </w:r>
          </w:p>
        </w:tc>
        <w:tc>
          <w:tcPr>
            <w:tcW w:w="2437" w:type="dxa"/>
            <w:gridSpan w:val="4"/>
            <w:tcBorders>
              <w:left w:val="single" w:color="auto" w:sz="4" w:space="0"/>
            </w:tcBorders>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lang w:val="en-US" w:eastAsia="zh-CN"/>
              </w:rPr>
              <w:t>1312.94</w:t>
            </w:r>
          </w:p>
        </w:tc>
        <w:tc>
          <w:tcPr>
            <w:tcW w:w="3644" w:type="dxa"/>
            <w:gridSpan w:val="7"/>
            <w:noWrap w:val="0"/>
            <w:vAlign w:val="center"/>
          </w:tcPr>
          <w:p>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941" w:type="dxa"/>
            <w:gridSpan w:val="2"/>
            <w:noWrap w:val="0"/>
            <w:vAlign w:val="center"/>
          </w:tcPr>
          <w:p>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noWrap w:val="0"/>
            <w:vAlign w:val="center"/>
          </w:tcPr>
          <w:p>
            <w:pPr>
              <w:spacing w:line="320" w:lineRule="exact"/>
              <w:jc w:val="left"/>
              <w:rPr>
                <w:rFonts w:eastAsia="仿宋_GB2312" w:cs="仿宋_GB2312"/>
                <w:sz w:val="24"/>
              </w:rPr>
            </w:pPr>
            <w:r>
              <w:rPr>
                <w:rFonts w:hint="eastAsia" w:eastAsia="仿宋_GB2312" w:cs="仿宋_GB2312"/>
                <w:sz w:val="24"/>
              </w:rPr>
              <w:t>2</w:t>
            </w:r>
            <w:r>
              <w:rPr>
                <w:rFonts w:hint="eastAsia" w:eastAsia="仿宋_GB2312" w:cs="仿宋_GB2312"/>
                <w:sz w:val="24"/>
                <w:lang w:val="en-US" w:eastAsia="zh-CN"/>
              </w:rPr>
              <w:t>.</w:t>
            </w:r>
            <w:r>
              <w:rPr>
                <w:rFonts w:hint="eastAsia" w:eastAsia="仿宋_GB2312" w:cs="仿宋_GB2312"/>
                <w:sz w:val="24"/>
              </w:rPr>
              <w:t>二级机构1</w:t>
            </w:r>
          </w:p>
        </w:tc>
        <w:tc>
          <w:tcPr>
            <w:tcW w:w="1080" w:type="dxa"/>
            <w:tcBorders>
              <w:right w:val="single" w:color="auto" w:sz="4" w:space="0"/>
            </w:tcBorders>
            <w:noWrap w:val="0"/>
            <w:vAlign w:val="center"/>
          </w:tcPr>
          <w:p>
            <w:pPr>
              <w:autoSpaceDN w:val="0"/>
              <w:spacing w:line="320" w:lineRule="exact"/>
              <w:jc w:val="center"/>
              <w:textAlignment w:val="center"/>
              <w:rPr>
                <w:rFonts w:eastAsia="仿宋_GB2312" w:cs="仿宋_GB2312"/>
                <w:sz w:val="24"/>
              </w:rPr>
            </w:pPr>
          </w:p>
        </w:tc>
        <w:tc>
          <w:tcPr>
            <w:tcW w:w="2437" w:type="dxa"/>
            <w:gridSpan w:val="4"/>
            <w:tcBorders>
              <w:left w:val="single" w:color="auto" w:sz="4" w:space="0"/>
            </w:tcBorders>
            <w:noWrap w:val="0"/>
            <w:vAlign w:val="center"/>
          </w:tcPr>
          <w:p>
            <w:pPr>
              <w:autoSpaceDN w:val="0"/>
              <w:spacing w:line="320" w:lineRule="exact"/>
              <w:jc w:val="center"/>
              <w:textAlignment w:val="center"/>
              <w:rPr>
                <w:rFonts w:eastAsia="仿宋_GB2312" w:cs="仿宋_GB2312"/>
                <w:sz w:val="24"/>
              </w:rPr>
            </w:pPr>
          </w:p>
        </w:tc>
        <w:tc>
          <w:tcPr>
            <w:tcW w:w="3644" w:type="dxa"/>
            <w:gridSpan w:val="7"/>
            <w:noWrap w:val="0"/>
            <w:vAlign w:val="center"/>
          </w:tcPr>
          <w:p>
            <w:pPr>
              <w:autoSpaceDN w:val="0"/>
              <w:spacing w:line="320" w:lineRule="exact"/>
              <w:jc w:val="center"/>
              <w:textAlignment w:val="center"/>
              <w:rPr>
                <w:rFonts w:eastAsia="仿宋_GB2312" w:cs="仿宋_GB2312"/>
                <w:sz w:val="24"/>
              </w:rPr>
            </w:pPr>
          </w:p>
        </w:tc>
        <w:tc>
          <w:tcPr>
            <w:tcW w:w="941" w:type="dxa"/>
            <w:gridSpan w:val="2"/>
            <w:noWrap w:val="0"/>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noWrap w:val="0"/>
            <w:vAlign w:val="center"/>
          </w:tcPr>
          <w:p>
            <w:pPr>
              <w:spacing w:line="320" w:lineRule="exact"/>
              <w:jc w:val="left"/>
              <w:rPr>
                <w:rFonts w:eastAsia="仿宋_GB2312" w:cs="仿宋_GB2312"/>
                <w:sz w:val="24"/>
              </w:rPr>
            </w:pPr>
            <w:r>
              <w:rPr>
                <w:rFonts w:hint="eastAsia" w:eastAsia="仿宋_GB2312" w:cs="仿宋_GB2312"/>
                <w:sz w:val="24"/>
              </w:rPr>
              <w:t>3</w:t>
            </w:r>
            <w:r>
              <w:rPr>
                <w:rFonts w:hint="eastAsia" w:eastAsia="仿宋_GB2312" w:cs="仿宋_GB2312"/>
                <w:sz w:val="24"/>
                <w:lang w:val="en-US" w:eastAsia="zh-CN"/>
              </w:rPr>
              <w:t>.</w:t>
            </w:r>
            <w:r>
              <w:rPr>
                <w:rFonts w:hint="eastAsia" w:eastAsia="仿宋_GB2312" w:cs="仿宋_GB2312"/>
                <w:sz w:val="24"/>
              </w:rPr>
              <w:t>二级机构2</w:t>
            </w:r>
          </w:p>
        </w:tc>
        <w:tc>
          <w:tcPr>
            <w:tcW w:w="1080" w:type="dxa"/>
            <w:tcBorders>
              <w:right w:val="single" w:color="auto" w:sz="4" w:space="0"/>
            </w:tcBorders>
            <w:noWrap w:val="0"/>
            <w:vAlign w:val="center"/>
          </w:tcPr>
          <w:p>
            <w:pPr>
              <w:autoSpaceDN w:val="0"/>
              <w:spacing w:line="320" w:lineRule="exact"/>
              <w:jc w:val="center"/>
              <w:textAlignment w:val="center"/>
              <w:rPr>
                <w:rFonts w:eastAsia="仿宋_GB2312" w:cs="仿宋_GB2312"/>
                <w:sz w:val="24"/>
              </w:rPr>
            </w:pPr>
          </w:p>
        </w:tc>
        <w:tc>
          <w:tcPr>
            <w:tcW w:w="2437" w:type="dxa"/>
            <w:gridSpan w:val="4"/>
            <w:tcBorders>
              <w:left w:val="single" w:color="auto" w:sz="4" w:space="0"/>
            </w:tcBorders>
            <w:noWrap w:val="0"/>
            <w:vAlign w:val="center"/>
          </w:tcPr>
          <w:p>
            <w:pPr>
              <w:autoSpaceDN w:val="0"/>
              <w:spacing w:line="320" w:lineRule="exact"/>
              <w:jc w:val="center"/>
              <w:textAlignment w:val="center"/>
              <w:rPr>
                <w:rFonts w:eastAsia="仿宋_GB2312" w:cs="仿宋_GB2312"/>
                <w:sz w:val="24"/>
              </w:rPr>
            </w:pPr>
          </w:p>
        </w:tc>
        <w:tc>
          <w:tcPr>
            <w:tcW w:w="3644" w:type="dxa"/>
            <w:gridSpan w:val="7"/>
            <w:noWrap w:val="0"/>
            <w:vAlign w:val="center"/>
          </w:tcPr>
          <w:p>
            <w:pPr>
              <w:autoSpaceDN w:val="0"/>
              <w:spacing w:line="320" w:lineRule="exact"/>
              <w:jc w:val="center"/>
              <w:textAlignment w:val="center"/>
              <w:rPr>
                <w:rFonts w:eastAsia="仿宋_GB2312" w:cs="仿宋_GB2312"/>
                <w:sz w:val="24"/>
              </w:rPr>
            </w:pPr>
          </w:p>
        </w:tc>
        <w:tc>
          <w:tcPr>
            <w:tcW w:w="941" w:type="dxa"/>
            <w:gridSpan w:val="2"/>
            <w:noWrap w:val="0"/>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17" w:hRule="atLeast"/>
          <w:jc w:val="center"/>
        </w:trPr>
        <w:tc>
          <w:tcPr>
            <w:tcW w:w="9800" w:type="dxa"/>
            <w:gridSpan w:val="17"/>
            <w:noWrap w:val="0"/>
            <w:vAlign w:val="center"/>
          </w:tcPr>
          <w:p>
            <w:pPr>
              <w:autoSpaceDN w:val="0"/>
              <w:spacing w:line="320" w:lineRule="exact"/>
              <w:jc w:val="center"/>
              <w:textAlignment w:val="center"/>
              <w:rPr>
                <w:rFonts w:eastAsia="仿宋_GB2312" w:cs="仿宋_GB2312"/>
                <w:sz w:val="24"/>
              </w:rPr>
            </w:pPr>
            <w:r>
              <w:rPr>
                <w:rFonts w:hint="eastAsia" w:eastAsia="黑体" w:cs="黑体"/>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0" w:type="dxa"/>
            <w:vMerge w:val="restart"/>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整体支出绩效定性目标及实施计划完成情况</w:t>
            </w:r>
          </w:p>
        </w:tc>
        <w:tc>
          <w:tcPr>
            <w:tcW w:w="3775" w:type="dxa"/>
            <w:gridSpan w:val="7"/>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预期目标</w:t>
            </w:r>
          </w:p>
        </w:tc>
        <w:tc>
          <w:tcPr>
            <w:tcW w:w="4585" w:type="dxa"/>
            <w:gridSpan w:val="9"/>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27" w:hRule="atLeast"/>
          <w:jc w:val="center"/>
        </w:trPr>
        <w:tc>
          <w:tcPr>
            <w:tcW w:w="1440" w:type="dxa"/>
            <w:vMerge w:val="continue"/>
            <w:noWrap w:val="0"/>
            <w:vAlign w:val="center"/>
          </w:tcPr>
          <w:p>
            <w:pPr>
              <w:spacing w:line="320" w:lineRule="exact"/>
              <w:rPr>
                <w:rFonts w:eastAsia="仿宋_GB2312" w:cs="仿宋_GB2312"/>
                <w:sz w:val="24"/>
              </w:rPr>
            </w:pPr>
          </w:p>
        </w:tc>
        <w:tc>
          <w:tcPr>
            <w:tcW w:w="3775" w:type="dxa"/>
            <w:gridSpan w:val="7"/>
            <w:noWrap w:val="0"/>
            <w:vAlign w:val="center"/>
          </w:tcPr>
          <w:p>
            <w:pPr>
              <w:autoSpaceDN w:val="0"/>
              <w:spacing w:line="320" w:lineRule="exact"/>
              <w:jc w:val="left"/>
              <w:textAlignment w:val="center"/>
              <w:rPr>
                <w:rFonts w:eastAsia="仿宋_GB2312" w:cs="仿宋_GB2312"/>
                <w:sz w:val="24"/>
              </w:rPr>
            </w:pPr>
            <w:r>
              <w:rPr>
                <w:rFonts w:hint="eastAsia" w:ascii="仿宋_GB2312" w:hAnsi="宋体" w:eastAsia="仿宋_GB2312" w:cs="仿宋_GB2312"/>
                <w:i w:val="0"/>
                <w:color w:val="auto"/>
                <w:kern w:val="0"/>
                <w:sz w:val="20"/>
                <w:szCs w:val="20"/>
                <w:u w:val="none"/>
                <w:lang w:val="en-US" w:eastAsia="zh-CN" w:bidi="ar"/>
              </w:rPr>
              <w:t>贯彻落实省委“三高四新”战略和州委决策部署，，聚焦“两个目标”“五个中心”，推进“五区”联动，集中精力发展经济，做好项目入库和投资入统，抓紧资金争取，持续优化营商环境，加速构建信用体系，做好重点项目建设、价格管理、物资储备、能源电力等工作</w:t>
            </w:r>
            <w:r>
              <w:rPr>
                <w:rFonts w:hint="eastAsia" w:ascii="仿宋_GB2312" w:hAnsi="宋体" w:eastAsia="仿宋_GB2312" w:cs="仿宋_GB2312"/>
                <w:i w:val="0"/>
                <w:color w:val="0000FF"/>
                <w:kern w:val="0"/>
                <w:sz w:val="20"/>
                <w:szCs w:val="20"/>
                <w:u w:val="none"/>
                <w:lang w:val="en-US" w:eastAsia="zh-CN" w:bidi="ar"/>
              </w:rPr>
              <w:t>。</w:t>
            </w:r>
          </w:p>
        </w:tc>
        <w:tc>
          <w:tcPr>
            <w:tcW w:w="4585" w:type="dxa"/>
            <w:gridSpan w:val="9"/>
            <w:noWrap w:val="0"/>
            <w:vAlign w:val="center"/>
          </w:tcPr>
          <w:p>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rPr>
              <w:t>2024年实施省州重点项目45个，总投资390.56亿元，预计年度完成投资79.98亿元。续建项目24个，新开项目21个，续建项目复工率100%</w:t>
            </w:r>
            <w:r>
              <w:rPr>
                <w:rFonts w:hint="eastAsia" w:eastAsia="仿宋_GB2312" w:cs="仿宋_GB2312"/>
                <w:sz w:val="24"/>
                <w:lang w:eastAsia="zh-CN"/>
              </w:rPr>
              <w:t>；完善信用体系建设，实行守信联合激励和失信联合惩戒机制。服务建设全国统一大市场，建立了《不当干预全国统一大市场建设行为问题整改和典型案例约谈通报制度》，推动各部门形成工作合力。支持民营企业发展，开展助企纾困解难行动；先后完成对市属公办中小学及幼儿园学生伙食费标准的调整、御龙湾等中大型小区前期物业费的审批、对城区道路临时停车收费标准的进行下调、吉首市雅思中学2024年秋季开学学费审批进行核准；积极行使好粮食行政主管部门职能作用，组织和指导、督促国有粮食企业发挥好储备作用，积极开展秋粮收购入库前的各项准备工作，坚决执行最低粮食收购价政策，坚持以质论价，不压级压价，损害农民利益；全年电网建设项目132个，总投资2.55亿元，年度投资1.52亿元，重点项目均明确相关责任单位配合推进，吉首市屋顶分布式光伏发电项目建设规模已完成8.988MW，累计完成投资3000万；迎峰度夏度冬能源运行总体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0" w:type="dxa"/>
            <w:vMerge w:val="restart"/>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整体支出</w:t>
            </w:r>
          </w:p>
          <w:p>
            <w:pPr>
              <w:autoSpaceDN w:val="0"/>
              <w:spacing w:line="320" w:lineRule="exact"/>
              <w:jc w:val="center"/>
              <w:textAlignment w:val="center"/>
              <w:rPr>
                <w:rFonts w:eastAsia="仿宋_GB2312" w:cs="仿宋_GB2312"/>
                <w:sz w:val="24"/>
              </w:rPr>
            </w:pPr>
            <w:r>
              <w:rPr>
                <w:rFonts w:hint="eastAsia" w:eastAsia="仿宋_GB2312" w:cs="仿宋_GB2312"/>
                <w:sz w:val="24"/>
              </w:rPr>
              <w:t>绩效定量目标及实施计划完成情况</w:t>
            </w:r>
          </w:p>
        </w:tc>
        <w:tc>
          <w:tcPr>
            <w:tcW w:w="2965" w:type="dxa"/>
            <w:gridSpan w:val="6"/>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评价内容</w:t>
            </w:r>
          </w:p>
        </w:tc>
        <w:tc>
          <w:tcPr>
            <w:tcW w:w="810" w:type="dxa"/>
            <w:tcBorders>
              <w:right w:val="single" w:color="auto" w:sz="4" w:space="0"/>
            </w:tcBorders>
            <w:noWrap w:val="0"/>
            <w:vAlign w:val="center"/>
          </w:tcPr>
          <w:p>
            <w:pPr>
              <w:autoSpaceDN w:val="0"/>
              <w:spacing w:line="320" w:lineRule="exact"/>
              <w:jc w:val="center"/>
              <w:textAlignment w:val="center"/>
              <w:rPr>
                <w:rFonts w:eastAsia="仿宋_GB2312" w:cs="仿宋_GB2312"/>
                <w:sz w:val="24"/>
              </w:rPr>
            </w:pPr>
          </w:p>
        </w:tc>
        <w:tc>
          <w:tcPr>
            <w:tcW w:w="1899" w:type="dxa"/>
            <w:gridSpan w:val="3"/>
            <w:tcBorders>
              <w:left w:val="single" w:color="auto" w:sz="4" w:space="0"/>
            </w:tcBorders>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绩效目标</w:t>
            </w:r>
          </w:p>
        </w:tc>
        <w:tc>
          <w:tcPr>
            <w:tcW w:w="2686" w:type="dxa"/>
            <w:gridSpan w:val="6"/>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14" w:hRule="atLeast"/>
          <w:jc w:val="center"/>
        </w:trPr>
        <w:tc>
          <w:tcPr>
            <w:tcW w:w="1440" w:type="dxa"/>
            <w:vMerge w:val="continue"/>
            <w:noWrap w:val="0"/>
            <w:vAlign w:val="center"/>
          </w:tcPr>
          <w:p>
            <w:pPr>
              <w:spacing w:line="320" w:lineRule="exact"/>
              <w:rPr>
                <w:rFonts w:eastAsia="仿宋_GB2312" w:cs="仿宋_GB2312"/>
                <w:sz w:val="24"/>
              </w:rPr>
            </w:pPr>
          </w:p>
        </w:tc>
        <w:tc>
          <w:tcPr>
            <w:tcW w:w="2013" w:type="dxa"/>
            <w:gridSpan w:val="4"/>
            <w:vMerge w:val="restart"/>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产出目标</w:t>
            </w:r>
          </w:p>
          <w:p>
            <w:pPr>
              <w:autoSpaceDN w:val="0"/>
              <w:spacing w:line="320" w:lineRule="exact"/>
              <w:jc w:val="center"/>
              <w:textAlignment w:val="center"/>
              <w:rPr>
                <w:rFonts w:eastAsia="仿宋_GB2312" w:cs="仿宋_GB2312"/>
                <w:sz w:val="24"/>
              </w:rPr>
            </w:pPr>
            <w:r>
              <w:rPr>
                <w:rFonts w:hint="eastAsia" w:eastAsia="仿宋_GB2312" w:cs="仿宋_GB2312"/>
                <w:sz w:val="24"/>
              </w:rPr>
              <w:t>（部门工作实绩，包含上级部门和市委市政府布置的重点工作、实事任务等，根据部门实际进行调整细化）</w:t>
            </w:r>
          </w:p>
        </w:tc>
        <w:tc>
          <w:tcPr>
            <w:tcW w:w="952" w:type="dxa"/>
            <w:gridSpan w:val="2"/>
            <w:vMerge w:val="restart"/>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数量、质量、时效、成本指标</w:t>
            </w:r>
          </w:p>
          <w:p>
            <w:pPr>
              <w:autoSpaceDN w:val="0"/>
              <w:spacing w:line="320" w:lineRule="exact"/>
              <w:jc w:val="center"/>
              <w:textAlignment w:val="center"/>
              <w:rPr>
                <w:rFonts w:eastAsia="仿宋_GB2312" w:cs="仿宋_GB2312"/>
                <w:sz w:val="24"/>
              </w:rPr>
            </w:pPr>
          </w:p>
        </w:tc>
        <w:tc>
          <w:tcPr>
            <w:tcW w:w="810" w:type="dxa"/>
            <w:tcBorders>
              <w:right w:val="single" w:color="auto" w:sz="4" w:space="0"/>
            </w:tcBorders>
            <w:noWrap w:val="0"/>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指标1：</w:t>
            </w:r>
          </w:p>
        </w:tc>
        <w:tc>
          <w:tcPr>
            <w:tcW w:w="1899" w:type="dxa"/>
            <w:gridSpan w:val="3"/>
            <w:tcBorders>
              <w:left w:val="single" w:color="auto" w:sz="4" w:space="0"/>
            </w:tcBorders>
            <w:noWrap w:val="0"/>
            <w:vAlign w:val="center"/>
          </w:tcPr>
          <w:p>
            <w:pPr>
              <w:autoSpaceDN w:val="0"/>
              <w:spacing w:line="320" w:lineRule="exact"/>
              <w:jc w:val="left"/>
              <w:textAlignment w:val="center"/>
              <w:rPr>
                <w:rFonts w:hint="default" w:eastAsia="仿宋_GB2312" w:cs="仿宋_GB2312"/>
                <w:sz w:val="24"/>
                <w:lang w:val="en-US" w:eastAsia="zh-CN"/>
              </w:rPr>
            </w:pPr>
            <w:r>
              <w:rPr>
                <w:rFonts w:hint="eastAsia" w:eastAsia="仿宋_GB2312" w:cs="仿宋_GB2312"/>
                <w:sz w:val="24"/>
              </w:rPr>
              <w:t>编制可研报告≥</w:t>
            </w:r>
            <w:r>
              <w:rPr>
                <w:rFonts w:hint="eastAsia" w:eastAsia="仿宋_GB2312" w:cs="仿宋_GB2312"/>
                <w:sz w:val="24"/>
                <w:lang w:val="en-US" w:eastAsia="zh-CN"/>
              </w:rPr>
              <w:t>20个</w:t>
            </w:r>
          </w:p>
        </w:tc>
        <w:tc>
          <w:tcPr>
            <w:tcW w:w="2686" w:type="dxa"/>
            <w:gridSpan w:val="6"/>
            <w:noWrap w:val="0"/>
            <w:vAlign w:val="center"/>
          </w:tcPr>
          <w:p>
            <w:pPr>
              <w:autoSpaceDN w:val="0"/>
              <w:spacing w:line="320" w:lineRule="exact"/>
              <w:jc w:val="center"/>
              <w:textAlignment w:val="center"/>
              <w:rPr>
                <w:rFonts w:hint="default" w:eastAsia="仿宋_GB2312" w:cs="仿宋_GB2312"/>
                <w:b/>
                <w:sz w:val="24"/>
                <w:lang w:val="en-US" w:eastAsia="zh-CN"/>
              </w:rPr>
            </w:pPr>
            <w:r>
              <w:rPr>
                <w:rFonts w:hint="eastAsia" w:eastAsia="仿宋_GB2312" w:cs="仿宋_GB2312"/>
                <w:b/>
                <w:sz w:val="24"/>
                <w:lang w:val="en-US" w:eastAsia="zh-CN"/>
              </w:rPr>
              <w:t>24个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1440" w:type="dxa"/>
            <w:vMerge w:val="continue"/>
            <w:noWrap w:val="0"/>
            <w:vAlign w:val="center"/>
          </w:tcPr>
          <w:p>
            <w:pPr>
              <w:spacing w:line="320" w:lineRule="exact"/>
              <w:rPr>
                <w:rFonts w:eastAsia="仿宋_GB2312" w:cs="仿宋_GB2312"/>
                <w:sz w:val="24"/>
              </w:rPr>
            </w:pPr>
          </w:p>
        </w:tc>
        <w:tc>
          <w:tcPr>
            <w:tcW w:w="2013" w:type="dxa"/>
            <w:gridSpan w:val="4"/>
            <w:vMerge w:val="continue"/>
            <w:noWrap w:val="0"/>
            <w:vAlign w:val="center"/>
          </w:tcPr>
          <w:p>
            <w:pPr>
              <w:autoSpaceDN w:val="0"/>
              <w:spacing w:line="320" w:lineRule="exact"/>
              <w:rPr>
                <w:rFonts w:eastAsia="仿宋_GB2312" w:cs="仿宋_GB2312"/>
                <w:sz w:val="24"/>
              </w:rPr>
            </w:pPr>
          </w:p>
        </w:tc>
        <w:tc>
          <w:tcPr>
            <w:tcW w:w="952" w:type="dxa"/>
            <w:gridSpan w:val="2"/>
            <w:vMerge w:val="continue"/>
            <w:noWrap w:val="0"/>
            <w:vAlign w:val="center"/>
          </w:tcPr>
          <w:p>
            <w:pPr>
              <w:autoSpaceDN w:val="0"/>
              <w:spacing w:line="320" w:lineRule="exact"/>
              <w:jc w:val="center"/>
              <w:textAlignment w:val="center"/>
              <w:rPr>
                <w:rFonts w:eastAsia="仿宋_GB2312" w:cs="仿宋_GB2312"/>
                <w:sz w:val="24"/>
              </w:rPr>
            </w:pPr>
          </w:p>
        </w:tc>
        <w:tc>
          <w:tcPr>
            <w:tcW w:w="810" w:type="dxa"/>
            <w:tcBorders>
              <w:right w:val="single" w:color="auto" w:sz="4" w:space="0"/>
            </w:tcBorders>
            <w:noWrap w:val="0"/>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指标2：</w:t>
            </w:r>
          </w:p>
        </w:tc>
        <w:tc>
          <w:tcPr>
            <w:tcW w:w="1899" w:type="dxa"/>
            <w:gridSpan w:val="3"/>
            <w:tcBorders>
              <w:left w:val="single" w:color="auto" w:sz="4" w:space="0"/>
            </w:tcBorders>
            <w:noWrap w:val="0"/>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开展粮食、食品安全宣传次数≥</w:t>
            </w:r>
            <w:r>
              <w:rPr>
                <w:rFonts w:hint="eastAsia" w:eastAsia="仿宋_GB2312" w:cs="仿宋_GB2312"/>
                <w:sz w:val="24"/>
                <w:lang w:val="en-US" w:eastAsia="zh-CN"/>
              </w:rPr>
              <w:t>2次</w:t>
            </w:r>
          </w:p>
        </w:tc>
        <w:tc>
          <w:tcPr>
            <w:tcW w:w="2686" w:type="dxa"/>
            <w:gridSpan w:val="6"/>
            <w:noWrap w:val="0"/>
            <w:vAlign w:val="center"/>
          </w:tcPr>
          <w:p>
            <w:pPr>
              <w:autoSpaceDN w:val="0"/>
              <w:spacing w:line="320" w:lineRule="exact"/>
              <w:jc w:val="center"/>
              <w:textAlignment w:val="center"/>
              <w:rPr>
                <w:rFonts w:hint="eastAsia" w:eastAsia="仿宋_GB2312" w:cs="仿宋_GB2312"/>
                <w:b/>
                <w:sz w:val="24"/>
                <w:lang w:val="en-US" w:eastAsia="zh-CN"/>
              </w:rPr>
            </w:pPr>
            <w:r>
              <w:rPr>
                <w:rFonts w:hint="eastAsia" w:eastAsia="仿宋_GB2312" w:cs="仿宋_GB2312"/>
                <w:b/>
                <w:sz w:val="24"/>
                <w:lang w:val="en-US" w:eastAsia="zh-CN"/>
              </w:rPr>
              <w:t>2次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54" w:hRule="atLeast"/>
          <w:jc w:val="center"/>
        </w:trPr>
        <w:tc>
          <w:tcPr>
            <w:tcW w:w="1440" w:type="dxa"/>
            <w:vMerge w:val="continue"/>
            <w:noWrap w:val="0"/>
            <w:vAlign w:val="center"/>
          </w:tcPr>
          <w:p>
            <w:pPr>
              <w:spacing w:line="320" w:lineRule="exact"/>
              <w:rPr>
                <w:rFonts w:eastAsia="仿宋_GB2312" w:cs="仿宋_GB2312"/>
                <w:sz w:val="24"/>
              </w:rPr>
            </w:pPr>
          </w:p>
        </w:tc>
        <w:tc>
          <w:tcPr>
            <w:tcW w:w="2013" w:type="dxa"/>
            <w:gridSpan w:val="4"/>
            <w:vMerge w:val="continue"/>
            <w:noWrap w:val="0"/>
            <w:vAlign w:val="center"/>
          </w:tcPr>
          <w:p>
            <w:pPr>
              <w:autoSpaceDN w:val="0"/>
              <w:spacing w:line="320" w:lineRule="exact"/>
              <w:rPr>
                <w:rFonts w:eastAsia="仿宋_GB2312" w:cs="仿宋_GB2312"/>
                <w:sz w:val="24"/>
              </w:rPr>
            </w:pPr>
          </w:p>
        </w:tc>
        <w:tc>
          <w:tcPr>
            <w:tcW w:w="952" w:type="dxa"/>
            <w:gridSpan w:val="2"/>
            <w:vMerge w:val="continue"/>
            <w:noWrap w:val="0"/>
            <w:vAlign w:val="center"/>
          </w:tcPr>
          <w:p>
            <w:pPr>
              <w:autoSpaceDN w:val="0"/>
              <w:spacing w:line="320" w:lineRule="exact"/>
              <w:jc w:val="center"/>
              <w:textAlignment w:val="center"/>
              <w:rPr>
                <w:rFonts w:eastAsia="仿宋_GB2312" w:cs="仿宋_GB2312"/>
                <w:sz w:val="24"/>
              </w:rPr>
            </w:pPr>
          </w:p>
        </w:tc>
        <w:tc>
          <w:tcPr>
            <w:tcW w:w="810" w:type="dxa"/>
            <w:tcBorders>
              <w:right w:val="single" w:color="auto" w:sz="4" w:space="0"/>
            </w:tcBorders>
            <w:noWrap w:val="0"/>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指标3：</w:t>
            </w:r>
          </w:p>
        </w:tc>
        <w:tc>
          <w:tcPr>
            <w:tcW w:w="1899" w:type="dxa"/>
            <w:gridSpan w:val="3"/>
            <w:tcBorders>
              <w:left w:val="single" w:color="auto" w:sz="4" w:space="0"/>
            </w:tcBorders>
            <w:noWrap w:val="0"/>
            <w:vAlign w:val="center"/>
          </w:tcPr>
          <w:p>
            <w:pPr>
              <w:autoSpaceDN w:val="0"/>
              <w:spacing w:line="320" w:lineRule="exact"/>
              <w:jc w:val="left"/>
              <w:textAlignment w:val="center"/>
              <w:rPr>
                <w:rFonts w:hint="default" w:eastAsia="仿宋_GB2312" w:cs="仿宋_GB2312"/>
                <w:sz w:val="24"/>
                <w:lang w:val="en-US"/>
              </w:rPr>
            </w:pPr>
            <w:r>
              <w:rPr>
                <w:rFonts w:hint="eastAsia" w:eastAsia="仿宋_GB2312" w:cs="仿宋_GB2312"/>
                <w:sz w:val="24"/>
              </w:rPr>
              <w:t>全社会固定资产投资增长率≥</w:t>
            </w:r>
            <w:r>
              <w:rPr>
                <w:rFonts w:hint="eastAsia" w:eastAsia="仿宋_GB2312" w:cs="仿宋_GB2312"/>
                <w:sz w:val="24"/>
                <w:lang w:val="en-US" w:eastAsia="zh-CN"/>
              </w:rPr>
              <w:t>10%</w:t>
            </w:r>
          </w:p>
        </w:tc>
        <w:tc>
          <w:tcPr>
            <w:tcW w:w="2686" w:type="dxa"/>
            <w:gridSpan w:val="6"/>
            <w:noWrap w:val="0"/>
            <w:vAlign w:val="center"/>
          </w:tcPr>
          <w:p>
            <w:pPr>
              <w:autoSpaceDN w:val="0"/>
              <w:spacing w:line="320" w:lineRule="exact"/>
              <w:jc w:val="center"/>
              <w:textAlignment w:val="center"/>
              <w:rPr>
                <w:rFonts w:hint="default" w:eastAsia="仿宋_GB2312" w:cs="仿宋_GB2312"/>
                <w:b/>
                <w:sz w:val="24"/>
                <w:lang w:val="en-US" w:eastAsia="zh-CN"/>
              </w:rPr>
            </w:pPr>
            <w:r>
              <w:rPr>
                <w:rFonts w:hint="eastAsia" w:eastAsia="仿宋_GB2312" w:cs="仿宋_GB2312"/>
                <w:b/>
                <w:sz w:val="24"/>
                <w:lang w:val="en-US" w:eastAsia="zh-CN"/>
              </w:rPr>
              <w:t>-10.5%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1440" w:type="dxa"/>
            <w:vMerge w:val="continue"/>
            <w:noWrap w:val="0"/>
            <w:vAlign w:val="center"/>
          </w:tcPr>
          <w:p>
            <w:pPr>
              <w:spacing w:line="320" w:lineRule="exact"/>
              <w:rPr>
                <w:rFonts w:eastAsia="仿宋_GB2312" w:cs="仿宋_GB2312"/>
                <w:sz w:val="24"/>
              </w:rPr>
            </w:pPr>
          </w:p>
        </w:tc>
        <w:tc>
          <w:tcPr>
            <w:tcW w:w="2013" w:type="dxa"/>
            <w:gridSpan w:val="4"/>
            <w:vMerge w:val="continue"/>
            <w:noWrap w:val="0"/>
            <w:vAlign w:val="center"/>
          </w:tcPr>
          <w:p>
            <w:pPr>
              <w:autoSpaceDN w:val="0"/>
              <w:spacing w:line="320" w:lineRule="exact"/>
              <w:rPr>
                <w:rFonts w:eastAsia="仿宋_GB2312" w:cs="仿宋_GB2312"/>
                <w:sz w:val="24"/>
              </w:rPr>
            </w:pPr>
          </w:p>
        </w:tc>
        <w:tc>
          <w:tcPr>
            <w:tcW w:w="952" w:type="dxa"/>
            <w:gridSpan w:val="2"/>
            <w:vMerge w:val="continue"/>
            <w:noWrap w:val="0"/>
            <w:vAlign w:val="center"/>
          </w:tcPr>
          <w:p>
            <w:pPr>
              <w:autoSpaceDN w:val="0"/>
              <w:spacing w:line="320" w:lineRule="exact"/>
              <w:jc w:val="center"/>
              <w:textAlignment w:val="center"/>
              <w:rPr>
                <w:rFonts w:eastAsia="仿宋_GB2312" w:cs="仿宋_GB2312"/>
                <w:sz w:val="24"/>
              </w:rPr>
            </w:pPr>
          </w:p>
        </w:tc>
        <w:tc>
          <w:tcPr>
            <w:tcW w:w="810" w:type="dxa"/>
            <w:tcBorders>
              <w:right w:val="single" w:color="auto" w:sz="4" w:space="0"/>
            </w:tcBorders>
            <w:noWrap w:val="0"/>
            <w:vAlign w:val="center"/>
          </w:tcPr>
          <w:p>
            <w:pPr>
              <w:autoSpaceDN w:val="0"/>
              <w:spacing w:line="320" w:lineRule="exact"/>
              <w:jc w:val="left"/>
              <w:textAlignment w:val="center"/>
              <w:rPr>
                <w:rFonts w:hint="eastAsia" w:eastAsia="仿宋_GB2312" w:cs="仿宋_GB2312"/>
                <w:sz w:val="24"/>
                <w:lang w:val="en-US" w:eastAsia="zh-CN"/>
              </w:rPr>
            </w:pPr>
            <w:r>
              <w:rPr>
                <w:rFonts w:hint="eastAsia" w:eastAsia="仿宋_GB2312" w:cs="仿宋_GB2312"/>
                <w:sz w:val="24"/>
              </w:rPr>
              <w:t>指标</w:t>
            </w:r>
            <w:r>
              <w:rPr>
                <w:rFonts w:hint="eastAsia" w:eastAsia="仿宋_GB2312" w:cs="仿宋_GB2312"/>
                <w:sz w:val="24"/>
                <w:lang w:val="en-US" w:eastAsia="zh-CN"/>
              </w:rPr>
              <w:t>4：</w:t>
            </w:r>
          </w:p>
        </w:tc>
        <w:tc>
          <w:tcPr>
            <w:tcW w:w="1899" w:type="dxa"/>
            <w:gridSpan w:val="3"/>
            <w:tcBorders>
              <w:left w:val="single" w:color="auto" w:sz="4" w:space="0"/>
            </w:tcBorders>
            <w:noWrap w:val="0"/>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重点工作完成及时率≥</w:t>
            </w:r>
            <w:r>
              <w:rPr>
                <w:rFonts w:hint="eastAsia" w:eastAsia="仿宋_GB2312" w:cs="仿宋_GB2312"/>
                <w:sz w:val="24"/>
                <w:lang w:val="en-US" w:eastAsia="zh-CN"/>
              </w:rPr>
              <w:t>100%</w:t>
            </w:r>
          </w:p>
        </w:tc>
        <w:tc>
          <w:tcPr>
            <w:tcW w:w="2686" w:type="dxa"/>
            <w:gridSpan w:val="6"/>
            <w:noWrap w:val="0"/>
            <w:vAlign w:val="center"/>
          </w:tcPr>
          <w:p>
            <w:pPr>
              <w:autoSpaceDN w:val="0"/>
              <w:spacing w:line="320" w:lineRule="exact"/>
              <w:jc w:val="center"/>
              <w:textAlignment w:val="center"/>
              <w:rPr>
                <w:rFonts w:hint="default" w:eastAsia="仿宋_GB2312" w:cs="仿宋_GB2312"/>
                <w:b/>
                <w:sz w:val="24"/>
                <w:lang w:val="en-US" w:eastAsia="zh-CN"/>
              </w:rPr>
            </w:pPr>
            <w:r>
              <w:rPr>
                <w:rFonts w:hint="eastAsia" w:eastAsia="仿宋_GB2312" w:cs="仿宋_GB2312"/>
                <w:b/>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90" w:hRule="atLeast"/>
          <w:jc w:val="center"/>
        </w:trPr>
        <w:tc>
          <w:tcPr>
            <w:tcW w:w="1440" w:type="dxa"/>
            <w:vMerge w:val="continue"/>
            <w:noWrap w:val="0"/>
            <w:vAlign w:val="center"/>
          </w:tcPr>
          <w:p>
            <w:pPr>
              <w:spacing w:line="320" w:lineRule="exact"/>
              <w:rPr>
                <w:rFonts w:eastAsia="仿宋_GB2312" w:cs="仿宋_GB2312"/>
                <w:sz w:val="24"/>
              </w:rPr>
            </w:pPr>
          </w:p>
        </w:tc>
        <w:tc>
          <w:tcPr>
            <w:tcW w:w="2013" w:type="dxa"/>
            <w:gridSpan w:val="4"/>
            <w:vMerge w:val="restart"/>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效益目标</w:t>
            </w:r>
          </w:p>
          <w:p>
            <w:pPr>
              <w:autoSpaceDN w:val="0"/>
              <w:spacing w:line="320" w:lineRule="exact"/>
              <w:jc w:val="center"/>
              <w:textAlignment w:val="center"/>
              <w:rPr>
                <w:rFonts w:eastAsia="仿宋_GB2312" w:cs="仿宋_GB2312"/>
                <w:sz w:val="24"/>
              </w:rPr>
            </w:pPr>
            <w:r>
              <w:rPr>
                <w:rFonts w:hint="eastAsia" w:eastAsia="仿宋_GB2312" w:cs="仿宋_GB2312"/>
                <w:sz w:val="24"/>
              </w:rPr>
              <w:t>（预期实现的效益）</w:t>
            </w:r>
          </w:p>
        </w:tc>
        <w:tc>
          <w:tcPr>
            <w:tcW w:w="952" w:type="dxa"/>
            <w:gridSpan w:val="2"/>
            <w:vMerge w:val="restart"/>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社会、经济、生态效益</w:t>
            </w:r>
          </w:p>
        </w:tc>
        <w:tc>
          <w:tcPr>
            <w:tcW w:w="810" w:type="dxa"/>
            <w:tcBorders>
              <w:right w:val="single" w:color="auto" w:sz="4" w:space="0"/>
            </w:tcBorders>
            <w:noWrap w:val="0"/>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指标1：</w:t>
            </w:r>
          </w:p>
        </w:tc>
        <w:tc>
          <w:tcPr>
            <w:tcW w:w="1899" w:type="dxa"/>
            <w:gridSpan w:val="3"/>
            <w:tcBorders>
              <w:left w:val="single" w:color="auto" w:sz="4" w:space="0"/>
            </w:tcBorders>
            <w:noWrap w:val="0"/>
            <w:vAlign w:val="center"/>
          </w:tcPr>
          <w:p>
            <w:pPr>
              <w:autoSpaceDN w:val="0"/>
              <w:spacing w:line="320" w:lineRule="exact"/>
              <w:jc w:val="left"/>
              <w:textAlignment w:val="center"/>
              <w:rPr>
                <w:rFonts w:hint="eastAsia" w:eastAsia="仿宋_GB2312" w:cs="仿宋_GB2312"/>
                <w:sz w:val="24"/>
                <w:lang w:eastAsia="zh-CN"/>
              </w:rPr>
            </w:pPr>
            <w:r>
              <w:rPr>
                <w:rFonts w:hint="eastAsia" w:eastAsia="仿宋_GB2312" w:cs="仿宋_GB2312"/>
                <w:sz w:val="24"/>
              </w:rPr>
              <w:t>争资上项水平提升</w:t>
            </w:r>
            <w:r>
              <w:rPr>
                <w:rFonts w:hint="eastAsia" w:eastAsia="仿宋_GB2312" w:cs="仿宋_GB2312"/>
                <w:sz w:val="24"/>
                <w:lang w:eastAsia="zh-CN"/>
              </w:rPr>
              <w:t>较好</w:t>
            </w:r>
          </w:p>
        </w:tc>
        <w:tc>
          <w:tcPr>
            <w:tcW w:w="2686" w:type="dxa"/>
            <w:gridSpan w:val="6"/>
            <w:noWrap w:val="0"/>
            <w:vAlign w:val="center"/>
          </w:tcPr>
          <w:p>
            <w:pPr>
              <w:autoSpaceDN w:val="0"/>
              <w:spacing w:line="320" w:lineRule="exact"/>
              <w:jc w:val="center"/>
              <w:textAlignment w:val="center"/>
              <w:rPr>
                <w:rFonts w:hint="eastAsia" w:eastAsia="仿宋_GB2312" w:cs="仿宋_GB2312"/>
                <w:b/>
                <w:sz w:val="24"/>
                <w:lang w:eastAsia="zh-CN"/>
              </w:rPr>
            </w:pPr>
            <w:r>
              <w:rPr>
                <w:rFonts w:hint="eastAsia" w:eastAsia="仿宋_GB2312" w:cs="仿宋_GB2312"/>
                <w:b/>
                <w:sz w:val="24"/>
                <w:lang w:eastAsia="zh-CN"/>
              </w:rPr>
              <w:t>较好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90" w:hRule="atLeast"/>
          <w:jc w:val="center"/>
        </w:trPr>
        <w:tc>
          <w:tcPr>
            <w:tcW w:w="1440" w:type="dxa"/>
            <w:vMerge w:val="continue"/>
            <w:noWrap w:val="0"/>
            <w:vAlign w:val="center"/>
          </w:tcPr>
          <w:p>
            <w:pPr>
              <w:spacing w:line="320" w:lineRule="exact"/>
              <w:rPr>
                <w:rFonts w:eastAsia="仿宋_GB2312" w:cs="仿宋_GB2312"/>
                <w:sz w:val="24"/>
              </w:rPr>
            </w:pPr>
          </w:p>
        </w:tc>
        <w:tc>
          <w:tcPr>
            <w:tcW w:w="2013" w:type="dxa"/>
            <w:gridSpan w:val="4"/>
            <w:vMerge w:val="continue"/>
            <w:noWrap w:val="0"/>
            <w:vAlign w:val="center"/>
          </w:tcPr>
          <w:p>
            <w:pPr>
              <w:autoSpaceDN w:val="0"/>
              <w:spacing w:line="320" w:lineRule="exact"/>
              <w:jc w:val="center"/>
              <w:textAlignment w:val="center"/>
              <w:rPr>
                <w:rFonts w:hint="eastAsia" w:eastAsia="仿宋_GB2312" w:cs="仿宋_GB2312"/>
                <w:sz w:val="24"/>
              </w:rPr>
            </w:pPr>
          </w:p>
        </w:tc>
        <w:tc>
          <w:tcPr>
            <w:tcW w:w="952" w:type="dxa"/>
            <w:gridSpan w:val="2"/>
            <w:vMerge w:val="continue"/>
            <w:noWrap w:val="0"/>
            <w:vAlign w:val="center"/>
          </w:tcPr>
          <w:p>
            <w:pPr>
              <w:autoSpaceDN w:val="0"/>
              <w:spacing w:line="320" w:lineRule="exact"/>
              <w:jc w:val="center"/>
              <w:textAlignment w:val="center"/>
              <w:rPr>
                <w:rFonts w:hint="eastAsia" w:eastAsia="仿宋_GB2312" w:cs="仿宋_GB2312"/>
                <w:sz w:val="24"/>
              </w:rPr>
            </w:pPr>
          </w:p>
        </w:tc>
        <w:tc>
          <w:tcPr>
            <w:tcW w:w="810" w:type="dxa"/>
            <w:tcBorders>
              <w:right w:val="single" w:color="auto" w:sz="4" w:space="0"/>
            </w:tcBorders>
            <w:noWrap w:val="0"/>
            <w:vAlign w:val="center"/>
          </w:tcPr>
          <w:p>
            <w:pPr>
              <w:autoSpaceDN w:val="0"/>
              <w:spacing w:line="320" w:lineRule="exact"/>
              <w:jc w:val="left"/>
              <w:textAlignment w:val="center"/>
              <w:rPr>
                <w:rFonts w:hint="eastAsia" w:eastAsia="仿宋_GB2312" w:cs="仿宋_GB2312"/>
                <w:sz w:val="24"/>
                <w:lang w:eastAsia="zh-CN"/>
              </w:rPr>
            </w:pPr>
            <w:r>
              <w:rPr>
                <w:rFonts w:hint="eastAsia" w:eastAsia="仿宋_GB2312" w:cs="仿宋_GB2312"/>
                <w:sz w:val="24"/>
              </w:rPr>
              <w:t>指标2</w:t>
            </w:r>
            <w:r>
              <w:rPr>
                <w:rFonts w:hint="eastAsia" w:eastAsia="仿宋_GB2312" w:cs="仿宋_GB2312"/>
                <w:sz w:val="24"/>
                <w:lang w:eastAsia="zh-CN"/>
              </w:rPr>
              <w:t>：</w:t>
            </w:r>
          </w:p>
        </w:tc>
        <w:tc>
          <w:tcPr>
            <w:tcW w:w="1899" w:type="dxa"/>
            <w:gridSpan w:val="3"/>
            <w:tcBorders>
              <w:left w:val="single" w:color="auto" w:sz="4" w:space="0"/>
            </w:tcBorders>
            <w:noWrap w:val="0"/>
            <w:vAlign w:val="center"/>
          </w:tcPr>
          <w:p>
            <w:pPr>
              <w:autoSpaceDN w:val="0"/>
              <w:spacing w:line="320" w:lineRule="exact"/>
              <w:jc w:val="left"/>
              <w:textAlignment w:val="center"/>
              <w:rPr>
                <w:rFonts w:hint="eastAsia" w:eastAsia="仿宋_GB2312" w:cs="仿宋_GB2312"/>
                <w:sz w:val="24"/>
                <w:lang w:eastAsia="zh-CN"/>
              </w:rPr>
            </w:pPr>
            <w:r>
              <w:rPr>
                <w:rFonts w:hint="eastAsia" w:eastAsia="仿宋_GB2312" w:cs="仿宋_GB2312"/>
                <w:sz w:val="24"/>
              </w:rPr>
              <w:t>信用体系建设</w:t>
            </w:r>
            <w:r>
              <w:rPr>
                <w:rFonts w:hint="eastAsia" w:eastAsia="仿宋_GB2312" w:cs="仿宋_GB2312"/>
                <w:sz w:val="24"/>
                <w:lang w:eastAsia="zh-CN"/>
              </w:rPr>
              <w:t>较完善</w:t>
            </w:r>
          </w:p>
        </w:tc>
        <w:tc>
          <w:tcPr>
            <w:tcW w:w="2686" w:type="dxa"/>
            <w:gridSpan w:val="6"/>
            <w:noWrap w:val="0"/>
            <w:vAlign w:val="center"/>
          </w:tcPr>
          <w:p>
            <w:pPr>
              <w:autoSpaceDN w:val="0"/>
              <w:spacing w:line="320" w:lineRule="exact"/>
              <w:jc w:val="center"/>
              <w:textAlignment w:val="center"/>
              <w:rPr>
                <w:rFonts w:hint="eastAsia" w:eastAsia="仿宋_GB2312" w:cs="仿宋_GB2312"/>
                <w:b/>
                <w:sz w:val="24"/>
                <w:lang w:eastAsia="zh-CN"/>
              </w:rPr>
            </w:pPr>
            <w:r>
              <w:rPr>
                <w:rFonts w:hint="eastAsia" w:eastAsia="仿宋_GB2312" w:cs="仿宋_GB2312"/>
                <w:b/>
                <w:sz w:val="24"/>
                <w:lang w:eastAsia="zh-CN"/>
              </w:rPr>
              <w:t>较完善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90" w:hRule="atLeast"/>
          <w:jc w:val="center"/>
        </w:trPr>
        <w:tc>
          <w:tcPr>
            <w:tcW w:w="1440" w:type="dxa"/>
            <w:vMerge w:val="continue"/>
            <w:noWrap w:val="0"/>
            <w:vAlign w:val="center"/>
          </w:tcPr>
          <w:p>
            <w:pPr>
              <w:spacing w:line="320" w:lineRule="exact"/>
              <w:rPr>
                <w:rFonts w:eastAsia="仿宋_GB2312" w:cs="仿宋_GB2312"/>
                <w:sz w:val="24"/>
              </w:rPr>
            </w:pPr>
          </w:p>
        </w:tc>
        <w:tc>
          <w:tcPr>
            <w:tcW w:w="2013" w:type="dxa"/>
            <w:gridSpan w:val="4"/>
            <w:vMerge w:val="continue"/>
            <w:noWrap w:val="0"/>
            <w:vAlign w:val="center"/>
          </w:tcPr>
          <w:p>
            <w:pPr>
              <w:autoSpaceDN w:val="0"/>
              <w:spacing w:line="320" w:lineRule="exact"/>
              <w:jc w:val="center"/>
              <w:textAlignment w:val="center"/>
              <w:rPr>
                <w:rFonts w:hint="eastAsia" w:eastAsia="仿宋_GB2312" w:cs="仿宋_GB2312"/>
                <w:sz w:val="24"/>
              </w:rPr>
            </w:pPr>
          </w:p>
        </w:tc>
        <w:tc>
          <w:tcPr>
            <w:tcW w:w="952" w:type="dxa"/>
            <w:gridSpan w:val="2"/>
            <w:vMerge w:val="continue"/>
            <w:noWrap w:val="0"/>
            <w:vAlign w:val="center"/>
          </w:tcPr>
          <w:p>
            <w:pPr>
              <w:autoSpaceDN w:val="0"/>
              <w:spacing w:line="320" w:lineRule="exact"/>
              <w:jc w:val="center"/>
              <w:textAlignment w:val="center"/>
              <w:rPr>
                <w:rFonts w:hint="eastAsia" w:eastAsia="仿宋_GB2312" w:cs="仿宋_GB2312"/>
                <w:sz w:val="24"/>
              </w:rPr>
            </w:pPr>
          </w:p>
        </w:tc>
        <w:tc>
          <w:tcPr>
            <w:tcW w:w="810" w:type="dxa"/>
            <w:tcBorders>
              <w:right w:val="single" w:color="auto" w:sz="4" w:space="0"/>
            </w:tcBorders>
            <w:noWrap w:val="0"/>
            <w:vAlign w:val="center"/>
          </w:tcPr>
          <w:p>
            <w:pPr>
              <w:autoSpaceDN w:val="0"/>
              <w:spacing w:line="320" w:lineRule="exact"/>
              <w:jc w:val="left"/>
              <w:textAlignment w:val="center"/>
              <w:rPr>
                <w:rFonts w:hint="eastAsia" w:eastAsia="仿宋_GB2312" w:cs="仿宋_GB2312"/>
                <w:sz w:val="24"/>
              </w:rPr>
            </w:pPr>
            <w:r>
              <w:rPr>
                <w:rFonts w:hint="eastAsia" w:eastAsia="仿宋_GB2312" w:cs="仿宋_GB2312"/>
                <w:sz w:val="24"/>
              </w:rPr>
              <w:t>指标</w:t>
            </w:r>
            <w:r>
              <w:rPr>
                <w:rFonts w:hint="eastAsia" w:eastAsia="仿宋_GB2312" w:cs="仿宋_GB2312"/>
                <w:sz w:val="24"/>
                <w:lang w:val="en-US" w:eastAsia="zh-CN"/>
              </w:rPr>
              <w:t>3</w:t>
            </w:r>
            <w:r>
              <w:rPr>
                <w:rFonts w:hint="eastAsia" w:eastAsia="仿宋_GB2312" w:cs="仿宋_GB2312"/>
                <w:sz w:val="24"/>
                <w:lang w:eastAsia="zh-CN"/>
              </w:rPr>
              <w:t>：</w:t>
            </w:r>
          </w:p>
        </w:tc>
        <w:tc>
          <w:tcPr>
            <w:tcW w:w="1899" w:type="dxa"/>
            <w:gridSpan w:val="3"/>
            <w:tcBorders>
              <w:left w:val="single" w:color="auto" w:sz="4" w:space="0"/>
            </w:tcBorders>
            <w:noWrap w:val="0"/>
            <w:vAlign w:val="center"/>
          </w:tcPr>
          <w:p>
            <w:pPr>
              <w:autoSpaceDN w:val="0"/>
              <w:spacing w:line="320" w:lineRule="exact"/>
              <w:jc w:val="left"/>
              <w:textAlignment w:val="center"/>
              <w:rPr>
                <w:rFonts w:hint="eastAsia" w:eastAsia="仿宋_GB2312" w:cs="仿宋_GB2312"/>
                <w:sz w:val="24"/>
                <w:lang w:eastAsia="zh-CN"/>
              </w:rPr>
            </w:pPr>
            <w:r>
              <w:rPr>
                <w:rFonts w:hint="eastAsia" w:eastAsia="仿宋_GB2312" w:cs="仿宋_GB2312"/>
                <w:sz w:val="24"/>
              </w:rPr>
              <w:t>粮食安全有保障</w:t>
            </w:r>
            <w:r>
              <w:rPr>
                <w:rFonts w:hint="eastAsia" w:eastAsia="仿宋_GB2312" w:cs="仿宋_GB2312"/>
                <w:sz w:val="24"/>
                <w:lang w:eastAsia="zh-CN"/>
              </w:rPr>
              <w:t>较高</w:t>
            </w:r>
          </w:p>
        </w:tc>
        <w:tc>
          <w:tcPr>
            <w:tcW w:w="2686" w:type="dxa"/>
            <w:gridSpan w:val="6"/>
            <w:noWrap w:val="0"/>
            <w:vAlign w:val="center"/>
          </w:tcPr>
          <w:p>
            <w:pPr>
              <w:autoSpaceDN w:val="0"/>
              <w:spacing w:line="320" w:lineRule="exact"/>
              <w:jc w:val="center"/>
              <w:textAlignment w:val="center"/>
              <w:rPr>
                <w:rFonts w:hint="eastAsia" w:eastAsia="仿宋_GB2312" w:cs="仿宋_GB2312"/>
                <w:b/>
                <w:sz w:val="24"/>
                <w:lang w:eastAsia="zh-CN"/>
              </w:rPr>
            </w:pPr>
            <w:r>
              <w:rPr>
                <w:rFonts w:hint="eastAsia" w:eastAsia="仿宋_GB2312" w:cs="仿宋_GB2312"/>
                <w:b/>
                <w:sz w:val="24"/>
                <w:lang w:eastAsia="zh-CN"/>
              </w:rPr>
              <w:t>较高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90" w:hRule="atLeast"/>
          <w:jc w:val="center"/>
        </w:trPr>
        <w:tc>
          <w:tcPr>
            <w:tcW w:w="1440" w:type="dxa"/>
            <w:vMerge w:val="continue"/>
            <w:noWrap w:val="0"/>
            <w:vAlign w:val="center"/>
          </w:tcPr>
          <w:p>
            <w:pPr>
              <w:spacing w:line="320" w:lineRule="exact"/>
              <w:rPr>
                <w:rFonts w:eastAsia="仿宋_GB2312" w:cs="仿宋_GB2312"/>
                <w:sz w:val="24"/>
              </w:rPr>
            </w:pPr>
          </w:p>
        </w:tc>
        <w:tc>
          <w:tcPr>
            <w:tcW w:w="2013" w:type="dxa"/>
            <w:gridSpan w:val="4"/>
            <w:vMerge w:val="continue"/>
            <w:noWrap w:val="0"/>
            <w:vAlign w:val="center"/>
          </w:tcPr>
          <w:p>
            <w:pPr>
              <w:autoSpaceDN w:val="0"/>
              <w:spacing w:line="320" w:lineRule="exact"/>
              <w:jc w:val="center"/>
              <w:textAlignment w:val="center"/>
              <w:rPr>
                <w:rFonts w:hint="eastAsia" w:eastAsia="仿宋_GB2312" w:cs="仿宋_GB2312"/>
                <w:sz w:val="24"/>
              </w:rPr>
            </w:pPr>
          </w:p>
        </w:tc>
        <w:tc>
          <w:tcPr>
            <w:tcW w:w="952" w:type="dxa"/>
            <w:gridSpan w:val="2"/>
            <w:vMerge w:val="continue"/>
            <w:noWrap w:val="0"/>
            <w:vAlign w:val="center"/>
          </w:tcPr>
          <w:p>
            <w:pPr>
              <w:autoSpaceDN w:val="0"/>
              <w:spacing w:line="320" w:lineRule="exact"/>
              <w:jc w:val="center"/>
              <w:textAlignment w:val="center"/>
              <w:rPr>
                <w:rFonts w:hint="eastAsia" w:eastAsia="仿宋_GB2312" w:cs="仿宋_GB2312"/>
                <w:sz w:val="24"/>
              </w:rPr>
            </w:pPr>
          </w:p>
        </w:tc>
        <w:tc>
          <w:tcPr>
            <w:tcW w:w="810" w:type="dxa"/>
            <w:tcBorders>
              <w:right w:val="single" w:color="auto" w:sz="4" w:space="0"/>
            </w:tcBorders>
            <w:noWrap w:val="0"/>
            <w:vAlign w:val="center"/>
          </w:tcPr>
          <w:p>
            <w:pPr>
              <w:autoSpaceDN w:val="0"/>
              <w:spacing w:line="320" w:lineRule="exact"/>
              <w:jc w:val="left"/>
              <w:textAlignment w:val="center"/>
              <w:rPr>
                <w:rFonts w:hint="eastAsia" w:eastAsia="仿宋_GB2312" w:cs="仿宋_GB2312"/>
                <w:sz w:val="24"/>
              </w:rPr>
            </w:pPr>
            <w:r>
              <w:rPr>
                <w:rFonts w:hint="eastAsia" w:eastAsia="仿宋_GB2312" w:cs="仿宋_GB2312"/>
                <w:sz w:val="24"/>
              </w:rPr>
              <w:t>指标</w:t>
            </w:r>
            <w:r>
              <w:rPr>
                <w:rFonts w:hint="eastAsia" w:eastAsia="仿宋_GB2312" w:cs="仿宋_GB2312"/>
                <w:sz w:val="24"/>
                <w:lang w:val="en-US" w:eastAsia="zh-CN"/>
              </w:rPr>
              <w:t>4</w:t>
            </w:r>
            <w:r>
              <w:rPr>
                <w:rFonts w:hint="eastAsia" w:eastAsia="仿宋_GB2312" w:cs="仿宋_GB2312"/>
                <w:sz w:val="24"/>
                <w:lang w:eastAsia="zh-CN"/>
              </w:rPr>
              <w:t>：</w:t>
            </w:r>
          </w:p>
        </w:tc>
        <w:tc>
          <w:tcPr>
            <w:tcW w:w="1899" w:type="dxa"/>
            <w:gridSpan w:val="3"/>
            <w:tcBorders>
              <w:left w:val="single" w:color="auto" w:sz="4" w:space="0"/>
            </w:tcBorders>
            <w:noWrap w:val="0"/>
            <w:vAlign w:val="center"/>
          </w:tcPr>
          <w:p>
            <w:pPr>
              <w:autoSpaceDN w:val="0"/>
              <w:spacing w:line="320" w:lineRule="exact"/>
              <w:jc w:val="left"/>
              <w:textAlignment w:val="center"/>
              <w:rPr>
                <w:rFonts w:hint="eastAsia" w:eastAsia="仿宋_GB2312" w:cs="仿宋_GB2312"/>
                <w:sz w:val="24"/>
                <w:lang w:eastAsia="zh-CN"/>
              </w:rPr>
            </w:pPr>
            <w:r>
              <w:rPr>
                <w:rFonts w:hint="eastAsia" w:eastAsia="仿宋_GB2312" w:cs="仿宋_GB2312"/>
                <w:sz w:val="24"/>
              </w:rPr>
              <w:t>营商环境持续优化</w:t>
            </w:r>
            <w:r>
              <w:rPr>
                <w:rFonts w:hint="eastAsia" w:eastAsia="仿宋_GB2312" w:cs="仿宋_GB2312"/>
                <w:sz w:val="24"/>
                <w:lang w:eastAsia="zh-CN"/>
              </w:rPr>
              <w:t>较好</w:t>
            </w:r>
          </w:p>
        </w:tc>
        <w:tc>
          <w:tcPr>
            <w:tcW w:w="2686" w:type="dxa"/>
            <w:gridSpan w:val="6"/>
            <w:noWrap w:val="0"/>
            <w:vAlign w:val="center"/>
          </w:tcPr>
          <w:p>
            <w:pPr>
              <w:autoSpaceDN w:val="0"/>
              <w:spacing w:line="320" w:lineRule="exact"/>
              <w:jc w:val="center"/>
              <w:textAlignment w:val="center"/>
              <w:rPr>
                <w:rFonts w:hint="eastAsia" w:eastAsia="仿宋_GB2312" w:cs="仿宋_GB2312"/>
                <w:b/>
                <w:sz w:val="24"/>
                <w:lang w:eastAsia="zh-CN"/>
              </w:rPr>
            </w:pPr>
            <w:r>
              <w:rPr>
                <w:rFonts w:hint="eastAsia" w:eastAsia="仿宋_GB2312" w:cs="仿宋_GB2312"/>
                <w:b/>
                <w:sz w:val="24"/>
                <w:lang w:eastAsia="zh-CN"/>
              </w:rPr>
              <w:t>较好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95" w:hRule="atLeast"/>
          <w:jc w:val="center"/>
        </w:trPr>
        <w:tc>
          <w:tcPr>
            <w:tcW w:w="1440" w:type="dxa"/>
            <w:vMerge w:val="continue"/>
            <w:noWrap w:val="0"/>
            <w:vAlign w:val="center"/>
          </w:tcPr>
          <w:p>
            <w:pPr>
              <w:spacing w:line="320" w:lineRule="exact"/>
              <w:rPr>
                <w:rFonts w:eastAsia="仿宋_GB2312" w:cs="仿宋_GB2312"/>
                <w:sz w:val="24"/>
              </w:rPr>
            </w:pPr>
          </w:p>
        </w:tc>
        <w:tc>
          <w:tcPr>
            <w:tcW w:w="2013" w:type="dxa"/>
            <w:gridSpan w:val="4"/>
            <w:vMerge w:val="continue"/>
            <w:noWrap w:val="0"/>
            <w:vAlign w:val="center"/>
          </w:tcPr>
          <w:p>
            <w:pPr>
              <w:autoSpaceDN w:val="0"/>
              <w:spacing w:line="320" w:lineRule="exact"/>
              <w:rPr>
                <w:rFonts w:eastAsia="仿宋_GB2312" w:cs="仿宋_GB2312"/>
                <w:sz w:val="24"/>
              </w:rPr>
            </w:pPr>
          </w:p>
        </w:tc>
        <w:tc>
          <w:tcPr>
            <w:tcW w:w="952" w:type="dxa"/>
            <w:gridSpan w:val="2"/>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社会公众或服务对象满意度</w:t>
            </w:r>
          </w:p>
        </w:tc>
        <w:tc>
          <w:tcPr>
            <w:tcW w:w="810" w:type="dxa"/>
            <w:tcBorders>
              <w:right w:val="single" w:color="auto" w:sz="4" w:space="0"/>
            </w:tcBorders>
            <w:noWrap w:val="0"/>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指标1：</w:t>
            </w:r>
          </w:p>
        </w:tc>
        <w:tc>
          <w:tcPr>
            <w:tcW w:w="1899" w:type="dxa"/>
            <w:gridSpan w:val="3"/>
            <w:tcBorders>
              <w:left w:val="single" w:color="auto" w:sz="4" w:space="0"/>
            </w:tcBorders>
            <w:noWrap w:val="0"/>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社会公众满意度≥</w:t>
            </w:r>
            <w:r>
              <w:rPr>
                <w:rFonts w:hint="eastAsia" w:eastAsia="仿宋_GB2312" w:cs="仿宋_GB2312"/>
                <w:sz w:val="24"/>
                <w:lang w:val="en-US" w:eastAsia="zh-CN"/>
              </w:rPr>
              <w:t>95%</w:t>
            </w:r>
          </w:p>
        </w:tc>
        <w:tc>
          <w:tcPr>
            <w:tcW w:w="2686" w:type="dxa"/>
            <w:gridSpan w:val="6"/>
            <w:noWrap w:val="0"/>
            <w:vAlign w:val="center"/>
          </w:tcPr>
          <w:p>
            <w:pPr>
              <w:autoSpaceDN w:val="0"/>
              <w:spacing w:line="320" w:lineRule="exact"/>
              <w:jc w:val="center"/>
              <w:textAlignment w:val="center"/>
              <w:rPr>
                <w:rFonts w:hint="default" w:eastAsia="仿宋_GB2312" w:cs="仿宋_GB2312"/>
                <w:b/>
                <w:sz w:val="24"/>
                <w:lang w:val="en-US" w:eastAsia="zh-CN"/>
              </w:rPr>
            </w:pPr>
            <w:r>
              <w:rPr>
                <w:rFonts w:hint="eastAsia" w:eastAsia="仿宋_GB2312" w:cs="仿宋_GB2312"/>
                <w:b/>
                <w:sz w:val="24"/>
                <w:lang w:val="en-US" w:eastAsia="zh-CN"/>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95" w:hRule="atLeast"/>
          <w:jc w:val="center"/>
        </w:trPr>
        <w:tc>
          <w:tcPr>
            <w:tcW w:w="1440" w:type="dxa"/>
            <w:vMerge w:val="restart"/>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整体支出</w:t>
            </w:r>
          </w:p>
          <w:p>
            <w:pPr>
              <w:spacing w:line="320" w:lineRule="exact"/>
              <w:rPr>
                <w:rFonts w:eastAsia="仿宋_GB2312" w:cs="仿宋_GB2312"/>
                <w:sz w:val="24"/>
              </w:rPr>
            </w:pPr>
            <w:r>
              <w:rPr>
                <w:rFonts w:hint="eastAsia" w:eastAsia="仿宋_GB2312" w:cs="仿宋_GB2312"/>
                <w:sz w:val="24"/>
              </w:rPr>
              <w:t>绩效定量目标及实施计划完成情况</w:t>
            </w:r>
          </w:p>
        </w:tc>
        <w:tc>
          <w:tcPr>
            <w:tcW w:w="2013" w:type="dxa"/>
            <w:gridSpan w:val="4"/>
            <w:vMerge w:val="restart"/>
            <w:noWrap w:val="0"/>
            <w:vAlign w:val="center"/>
          </w:tcPr>
          <w:p>
            <w:pPr>
              <w:autoSpaceDN w:val="0"/>
              <w:spacing w:line="320" w:lineRule="exact"/>
              <w:jc w:val="center"/>
              <w:rPr>
                <w:rFonts w:hint="eastAsia" w:eastAsia="仿宋_GB2312" w:cs="仿宋_GB2312"/>
                <w:sz w:val="24"/>
                <w:lang w:eastAsia="zh-CN"/>
              </w:rPr>
            </w:pPr>
            <w:r>
              <w:rPr>
                <w:rFonts w:hint="eastAsia" w:eastAsia="仿宋_GB2312" w:cs="仿宋_GB2312"/>
                <w:sz w:val="24"/>
                <w:lang w:eastAsia="zh-CN"/>
              </w:rPr>
              <w:t>成本指标</w:t>
            </w:r>
          </w:p>
        </w:tc>
        <w:tc>
          <w:tcPr>
            <w:tcW w:w="952" w:type="dxa"/>
            <w:gridSpan w:val="2"/>
            <w:vMerge w:val="restart"/>
            <w:noWrap w:val="0"/>
            <w:vAlign w:val="center"/>
          </w:tcPr>
          <w:p>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lang w:eastAsia="zh-CN"/>
              </w:rPr>
              <w:t>成本指标</w:t>
            </w:r>
          </w:p>
        </w:tc>
        <w:tc>
          <w:tcPr>
            <w:tcW w:w="810" w:type="dxa"/>
            <w:tcBorders>
              <w:right w:val="single" w:color="auto" w:sz="4" w:space="0"/>
            </w:tcBorders>
            <w:noWrap w:val="0"/>
            <w:vAlign w:val="center"/>
          </w:tcPr>
          <w:p>
            <w:pPr>
              <w:autoSpaceDN w:val="0"/>
              <w:spacing w:line="320" w:lineRule="exact"/>
              <w:jc w:val="left"/>
              <w:textAlignment w:val="center"/>
              <w:rPr>
                <w:rFonts w:hint="eastAsia" w:ascii="Times New Roman" w:hAnsi="Times New Roman" w:eastAsia="仿宋_GB2312" w:cs="仿宋_GB2312"/>
                <w:kern w:val="2"/>
                <w:sz w:val="24"/>
                <w:szCs w:val="24"/>
                <w:lang w:val="en-US" w:eastAsia="zh-CN" w:bidi="ar-SA"/>
              </w:rPr>
            </w:pPr>
            <w:r>
              <w:rPr>
                <w:rFonts w:hint="eastAsia" w:eastAsia="仿宋_GB2312" w:cs="仿宋_GB2312"/>
                <w:sz w:val="24"/>
              </w:rPr>
              <w:t>指标1：</w:t>
            </w:r>
          </w:p>
        </w:tc>
        <w:tc>
          <w:tcPr>
            <w:tcW w:w="1899" w:type="dxa"/>
            <w:gridSpan w:val="3"/>
            <w:tcBorders>
              <w:left w:val="single" w:color="auto" w:sz="4" w:space="0"/>
            </w:tcBorders>
            <w:noWrap w:val="0"/>
            <w:vAlign w:val="center"/>
          </w:tcPr>
          <w:p>
            <w:pPr>
              <w:autoSpaceDN w:val="0"/>
              <w:spacing w:line="320" w:lineRule="exact"/>
              <w:jc w:val="left"/>
              <w:textAlignment w:val="center"/>
              <w:rPr>
                <w:rFonts w:hint="eastAsia" w:eastAsia="仿宋_GB2312" w:cs="仿宋_GB2312"/>
                <w:sz w:val="24"/>
              </w:rPr>
            </w:pPr>
            <w:r>
              <w:rPr>
                <w:rFonts w:hint="eastAsia" w:eastAsia="仿宋_GB2312" w:cs="仿宋_GB2312"/>
                <w:sz w:val="24"/>
              </w:rPr>
              <w:t>在职人员控制率</w:t>
            </w:r>
          </w:p>
        </w:tc>
        <w:tc>
          <w:tcPr>
            <w:tcW w:w="2686" w:type="dxa"/>
            <w:gridSpan w:val="6"/>
            <w:noWrap w:val="0"/>
            <w:vAlign w:val="center"/>
          </w:tcPr>
          <w:p>
            <w:pPr>
              <w:autoSpaceDN w:val="0"/>
              <w:spacing w:line="320" w:lineRule="exact"/>
              <w:jc w:val="center"/>
              <w:textAlignment w:val="center"/>
              <w:rPr>
                <w:rFonts w:hint="default" w:eastAsia="仿宋_GB2312" w:cs="仿宋_GB2312"/>
                <w:b/>
                <w:sz w:val="24"/>
                <w:lang w:val="en-US" w:eastAsia="zh-CN"/>
              </w:rPr>
            </w:pPr>
            <w:r>
              <w:rPr>
                <w:rFonts w:hint="eastAsia" w:eastAsia="仿宋_GB2312" w:cs="仿宋_GB2312"/>
                <w:b/>
                <w:sz w:val="24"/>
                <w:lang w:val="en-US" w:eastAsia="zh-CN"/>
              </w:rPr>
              <w:t>94.74%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95" w:hRule="atLeast"/>
          <w:jc w:val="center"/>
        </w:trPr>
        <w:tc>
          <w:tcPr>
            <w:tcW w:w="1440" w:type="dxa"/>
            <w:vMerge w:val="continue"/>
            <w:noWrap w:val="0"/>
            <w:vAlign w:val="center"/>
          </w:tcPr>
          <w:p>
            <w:pPr>
              <w:spacing w:line="320" w:lineRule="exact"/>
              <w:rPr>
                <w:rFonts w:eastAsia="仿宋_GB2312" w:cs="仿宋_GB2312"/>
                <w:sz w:val="24"/>
              </w:rPr>
            </w:pPr>
          </w:p>
        </w:tc>
        <w:tc>
          <w:tcPr>
            <w:tcW w:w="2013" w:type="dxa"/>
            <w:gridSpan w:val="4"/>
            <w:vMerge w:val="continue"/>
            <w:noWrap w:val="0"/>
            <w:vAlign w:val="center"/>
          </w:tcPr>
          <w:p>
            <w:pPr>
              <w:autoSpaceDN w:val="0"/>
              <w:spacing w:line="320" w:lineRule="exact"/>
              <w:rPr>
                <w:rFonts w:eastAsia="仿宋_GB2312" w:cs="仿宋_GB2312"/>
                <w:sz w:val="24"/>
              </w:rPr>
            </w:pPr>
          </w:p>
        </w:tc>
        <w:tc>
          <w:tcPr>
            <w:tcW w:w="952" w:type="dxa"/>
            <w:gridSpan w:val="2"/>
            <w:vMerge w:val="continue"/>
            <w:noWrap w:val="0"/>
            <w:vAlign w:val="center"/>
          </w:tcPr>
          <w:p>
            <w:pPr>
              <w:autoSpaceDN w:val="0"/>
              <w:spacing w:line="320" w:lineRule="exact"/>
              <w:jc w:val="center"/>
              <w:textAlignment w:val="center"/>
              <w:rPr>
                <w:rFonts w:hint="eastAsia" w:eastAsia="仿宋_GB2312" w:cs="仿宋_GB2312"/>
                <w:sz w:val="24"/>
              </w:rPr>
            </w:pPr>
          </w:p>
        </w:tc>
        <w:tc>
          <w:tcPr>
            <w:tcW w:w="810" w:type="dxa"/>
            <w:tcBorders>
              <w:right w:val="single" w:color="auto" w:sz="4" w:space="0"/>
            </w:tcBorders>
            <w:noWrap w:val="0"/>
            <w:vAlign w:val="center"/>
          </w:tcPr>
          <w:p>
            <w:pPr>
              <w:autoSpaceDN w:val="0"/>
              <w:spacing w:line="320" w:lineRule="exact"/>
              <w:jc w:val="left"/>
              <w:textAlignment w:val="center"/>
              <w:rPr>
                <w:rFonts w:hint="eastAsia" w:ascii="Times New Roman" w:hAnsi="Times New Roman" w:eastAsia="仿宋_GB2312" w:cs="仿宋_GB2312"/>
                <w:kern w:val="2"/>
                <w:sz w:val="24"/>
                <w:szCs w:val="24"/>
                <w:lang w:val="en-US" w:eastAsia="zh-CN" w:bidi="ar-SA"/>
              </w:rPr>
            </w:pPr>
            <w:r>
              <w:rPr>
                <w:rFonts w:hint="eastAsia" w:eastAsia="仿宋_GB2312" w:cs="仿宋_GB2312"/>
                <w:sz w:val="24"/>
              </w:rPr>
              <w:t>指标2</w:t>
            </w:r>
            <w:r>
              <w:rPr>
                <w:rFonts w:hint="eastAsia" w:eastAsia="仿宋_GB2312" w:cs="仿宋_GB2312"/>
                <w:sz w:val="24"/>
                <w:lang w:eastAsia="zh-CN"/>
              </w:rPr>
              <w:t>：</w:t>
            </w:r>
          </w:p>
        </w:tc>
        <w:tc>
          <w:tcPr>
            <w:tcW w:w="1899" w:type="dxa"/>
            <w:gridSpan w:val="3"/>
            <w:tcBorders>
              <w:left w:val="single" w:color="auto" w:sz="4" w:space="0"/>
            </w:tcBorders>
            <w:noWrap w:val="0"/>
            <w:vAlign w:val="center"/>
          </w:tcPr>
          <w:p>
            <w:pPr>
              <w:autoSpaceDN w:val="0"/>
              <w:spacing w:line="320" w:lineRule="exact"/>
              <w:jc w:val="left"/>
              <w:textAlignment w:val="center"/>
              <w:rPr>
                <w:rFonts w:hint="eastAsia" w:eastAsia="仿宋_GB2312" w:cs="仿宋_GB2312"/>
                <w:sz w:val="24"/>
              </w:rPr>
            </w:pPr>
            <w:r>
              <w:rPr>
                <w:rFonts w:hint="eastAsia" w:eastAsia="仿宋_GB2312" w:cs="仿宋_GB2312"/>
                <w:sz w:val="24"/>
              </w:rPr>
              <w:t>三公经费控制率</w:t>
            </w:r>
          </w:p>
        </w:tc>
        <w:tc>
          <w:tcPr>
            <w:tcW w:w="2686" w:type="dxa"/>
            <w:gridSpan w:val="6"/>
            <w:noWrap w:val="0"/>
            <w:vAlign w:val="center"/>
          </w:tcPr>
          <w:p>
            <w:pPr>
              <w:autoSpaceDN w:val="0"/>
              <w:spacing w:line="320" w:lineRule="exact"/>
              <w:jc w:val="center"/>
              <w:textAlignment w:val="center"/>
              <w:rPr>
                <w:rFonts w:hint="default" w:eastAsia="仿宋_GB2312" w:cs="仿宋_GB2312"/>
                <w:b/>
                <w:sz w:val="24"/>
                <w:lang w:val="en-US" w:eastAsia="zh-CN"/>
              </w:rPr>
            </w:pPr>
            <w:r>
              <w:rPr>
                <w:rFonts w:hint="eastAsia" w:eastAsia="仿宋_GB2312" w:cs="仿宋_GB2312"/>
                <w:b/>
                <w:sz w:val="24"/>
                <w:lang w:val="en-US" w:eastAsia="zh-CN"/>
              </w:rPr>
              <w:t>234.4%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642" w:hRule="atLeast"/>
          <w:jc w:val="center"/>
        </w:trPr>
        <w:tc>
          <w:tcPr>
            <w:tcW w:w="3453" w:type="dxa"/>
            <w:gridSpan w:val="5"/>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绩效自评综合得分及评价等次</w:t>
            </w:r>
          </w:p>
        </w:tc>
        <w:tc>
          <w:tcPr>
            <w:tcW w:w="6347" w:type="dxa"/>
            <w:gridSpan w:val="12"/>
            <w:noWrap w:val="0"/>
            <w:vAlign w:val="center"/>
          </w:tcPr>
          <w:p>
            <w:pPr>
              <w:spacing w:line="320" w:lineRule="exact"/>
              <w:ind w:firstLine="630" w:firstLineChars="300"/>
              <w:rPr>
                <w:rFonts w:hint="eastAsia" w:eastAsia="楷体_GB2312"/>
                <w:lang w:eastAsia="zh-CN"/>
              </w:rPr>
            </w:pPr>
            <w:r>
              <w:rPr>
                <w:rFonts w:hint="eastAsia" w:eastAsia="楷体_GB2312"/>
              </w:rPr>
              <w:t>评分：</w:t>
            </w:r>
            <w:r>
              <w:rPr>
                <w:rFonts w:hint="eastAsia" w:eastAsia="楷体_GB2312"/>
                <w:lang w:val="en-US" w:eastAsia="zh-CN"/>
              </w:rPr>
              <w:t>90.35</w:t>
            </w:r>
            <w:r>
              <w:rPr>
                <w:rFonts w:hint="eastAsia" w:eastAsia="楷体_GB2312"/>
              </w:rPr>
              <w:t xml:space="preserve">                            等级：</w:t>
            </w:r>
            <w:r>
              <w:rPr>
                <w:rFonts w:hint="eastAsia" w:eastAsia="楷体_GB2312"/>
                <w:lang w:eastAsia="zh-CN"/>
              </w:rPr>
              <w:t>优</w:t>
            </w:r>
          </w:p>
          <w:p>
            <w:pPr>
              <w:autoSpaceDN w:val="0"/>
              <w:spacing w:line="320" w:lineRule="exact"/>
              <w:jc w:val="left"/>
              <w:textAlignment w:val="center"/>
              <w:rPr>
                <w:rFonts w:ascii="TimesNewRoman" w:hAnsi="TimesNewRoman"/>
              </w:rPr>
            </w:pPr>
          </w:p>
          <w:p>
            <w:pPr>
              <w:autoSpaceDN w:val="0"/>
              <w:spacing w:line="320" w:lineRule="exact"/>
              <w:jc w:val="left"/>
              <w:textAlignment w:val="center"/>
              <w:rPr>
                <w:rFonts w:eastAsia="仿宋_GB2312" w:cs="仿宋_GB2312"/>
                <w:sz w:val="24"/>
              </w:rPr>
            </w:pPr>
            <w:r>
              <w:rPr>
                <w:rFonts w:hint="eastAsia" w:ascii="TimesNewRoman" w:hAnsi="TimesNewRoman"/>
              </w:rPr>
              <w:t>备注：</w:t>
            </w:r>
            <w:r>
              <w:rPr>
                <w:rFonts w:ascii="TimesNewRoman" w:hAnsi="TimesNewRoman"/>
              </w:rPr>
              <w:t>90</w:t>
            </w:r>
            <w:r>
              <w:rPr>
                <w:rFonts w:hint="eastAsia" w:ascii="仿宋_GB2312" w:eastAsia="仿宋_GB2312"/>
              </w:rPr>
              <w:t>（含）—</w:t>
            </w:r>
            <w:r>
              <w:rPr>
                <w:rFonts w:ascii="TimesNewRoman" w:hAnsi="TimesNewRoman"/>
              </w:rPr>
              <w:t>100</w:t>
            </w:r>
            <w:r>
              <w:rPr>
                <w:rFonts w:hint="eastAsia" w:ascii="仿宋_GB2312" w:eastAsia="仿宋_GB2312"/>
              </w:rPr>
              <w:t>分为优；</w:t>
            </w:r>
            <w:r>
              <w:rPr>
                <w:rFonts w:ascii="TimesNewRoman" w:hAnsi="TimesNewRoman"/>
              </w:rPr>
              <w:t>80</w:t>
            </w:r>
            <w:r>
              <w:rPr>
                <w:rFonts w:hint="eastAsia" w:ascii="仿宋_GB2312" w:eastAsia="仿宋_GB2312"/>
              </w:rPr>
              <w:t>（含）—</w:t>
            </w:r>
            <w:r>
              <w:rPr>
                <w:rFonts w:ascii="TimesNewRoman" w:hAnsi="TimesNewRoman"/>
              </w:rPr>
              <w:t>90</w:t>
            </w:r>
            <w:r>
              <w:rPr>
                <w:rFonts w:hint="eastAsia" w:ascii="仿宋_GB2312" w:eastAsia="仿宋_GB2312"/>
              </w:rPr>
              <w:t>分为良；</w:t>
            </w:r>
            <w:r>
              <w:rPr>
                <w:rFonts w:ascii="TimesNewRoman" w:hAnsi="TimesNewRoman"/>
              </w:rPr>
              <w:t xml:space="preserve"> 60</w:t>
            </w:r>
            <w:r>
              <w:rPr>
                <w:rFonts w:hint="eastAsia" w:ascii="仿宋_GB2312" w:eastAsia="仿宋_GB2312"/>
              </w:rPr>
              <w:t>（含）—</w:t>
            </w:r>
            <w:r>
              <w:rPr>
                <w:rFonts w:ascii="TimesNewRoman" w:hAnsi="TimesNewRoman"/>
              </w:rPr>
              <w:t>80</w:t>
            </w:r>
            <w:r>
              <w:rPr>
                <w:rFonts w:hint="eastAsia" w:ascii="仿宋_GB2312" w:eastAsia="仿宋_GB2312"/>
              </w:rPr>
              <w:t xml:space="preserve"> 分为较差；</w:t>
            </w:r>
            <w:r>
              <w:rPr>
                <w:rFonts w:ascii="TimesNewRoman" w:hAnsi="TimesNewRoman"/>
              </w:rPr>
              <w:t>60</w:t>
            </w:r>
            <w:r>
              <w:rPr>
                <w:rFonts w:hint="eastAsia" w:ascii="仿宋_GB2312" w:eastAsia="仿宋_GB2312"/>
              </w:rPr>
              <w:t>分以下为差。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noWrap w:val="0"/>
            <w:vAlign w:val="center"/>
          </w:tcPr>
          <w:p>
            <w:pPr>
              <w:autoSpaceDN w:val="0"/>
              <w:spacing w:line="320" w:lineRule="exact"/>
              <w:jc w:val="center"/>
              <w:textAlignment w:val="center"/>
              <w:rPr>
                <w:rFonts w:eastAsia="仿宋_GB2312" w:cs="仿宋_GB2312"/>
                <w:sz w:val="24"/>
              </w:rPr>
            </w:pPr>
            <w:r>
              <w:rPr>
                <w:rFonts w:hint="eastAsia" w:eastAsia="黑体" w:cs="黑体"/>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2" w:type="dxa"/>
            <w:gridSpan w:val="2"/>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姓  名</w:t>
            </w:r>
          </w:p>
        </w:tc>
        <w:tc>
          <w:tcPr>
            <w:tcW w:w="3563" w:type="dxa"/>
            <w:gridSpan w:val="6"/>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职务/职称</w:t>
            </w:r>
          </w:p>
        </w:tc>
        <w:tc>
          <w:tcPr>
            <w:tcW w:w="1479" w:type="dxa"/>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单  位</w:t>
            </w:r>
          </w:p>
        </w:tc>
        <w:tc>
          <w:tcPr>
            <w:tcW w:w="3106" w:type="dxa"/>
            <w:gridSpan w:val="8"/>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2" w:type="dxa"/>
            <w:gridSpan w:val="2"/>
            <w:noWrap w:val="0"/>
            <w:vAlign w:val="center"/>
          </w:tcPr>
          <w:p>
            <w:pPr>
              <w:keepNext w:val="0"/>
              <w:keepLines w:val="0"/>
              <w:suppressLineNumbers w:val="0"/>
              <w:autoSpaceDN w:val="0"/>
              <w:spacing w:before="0" w:beforeAutospacing="0" w:after="0" w:afterAutospacing="0" w:line="320" w:lineRule="exact"/>
              <w:ind w:left="0" w:leftChars="0" w:right="0" w:rightChars="0"/>
              <w:jc w:val="center"/>
              <w:textAlignment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张</w:t>
            </w: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Cs w:val="21"/>
                <w:lang w:eastAsia="zh-CN"/>
                <w14:textFill>
                  <w14:solidFill>
                    <w14:schemeClr w14:val="tx1"/>
                  </w14:solidFill>
                </w14:textFill>
              </w:rPr>
              <w:t>强</w:t>
            </w:r>
          </w:p>
        </w:tc>
        <w:tc>
          <w:tcPr>
            <w:tcW w:w="3563" w:type="dxa"/>
            <w:gridSpan w:val="6"/>
            <w:noWrap w:val="0"/>
            <w:vAlign w:val="center"/>
          </w:tcPr>
          <w:p>
            <w:pPr>
              <w:keepNext w:val="0"/>
              <w:keepLines w:val="0"/>
              <w:suppressLineNumbers w:val="0"/>
              <w:autoSpaceDN w:val="0"/>
              <w:spacing w:before="0" w:beforeAutospacing="0" w:after="0" w:afterAutospacing="0" w:line="320" w:lineRule="exact"/>
              <w:ind w:left="0" w:leftChars="0" w:right="0" w:rightChars="0"/>
              <w:jc w:val="center"/>
              <w:textAlignment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党组书记、</w:t>
            </w:r>
            <w:r>
              <w:rPr>
                <w:rFonts w:hint="eastAsia" w:ascii="仿宋_GB2312" w:hAnsi="仿宋_GB2312" w:eastAsia="仿宋_GB2312" w:cs="仿宋_GB2312"/>
                <w:color w:val="000000" w:themeColor="text1"/>
                <w:szCs w:val="21"/>
                <w14:textFill>
                  <w14:solidFill>
                    <w14:schemeClr w14:val="tx1"/>
                  </w14:solidFill>
                </w14:textFill>
              </w:rPr>
              <w:t>局长</w:t>
            </w:r>
          </w:p>
        </w:tc>
        <w:tc>
          <w:tcPr>
            <w:tcW w:w="1479" w:type="dxa"/>
            <w:noWrap w:val="0"/>
            <w:vAlign w:val="center"/>
          </w:tcPr>
          <w:p>
            <w:pPr>
              <w:keepNext w:val="0"/>
              <w:keepLines w:val="0"/>
              <w:suppressLineNumbers w:val="0"/>
              <w:autoSpaceDN w:val="0"/>
              <w:spacing w:before="0" w:beforeAutospacing="0" w:after="0" w:afterAutospacing="0" w:line="320" w:lineRule="exact"/>
              <w:ind w:left="0" w:leftChars="0" w:right="0" w:rightChars="0"/>
              <w:jc w:val="center"/>
              <w:textAlignment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吉首市发展和改革局</w:t>
            </w:r>
          </w:p>
        </w:tc>
        <w:tc>
          <w:tcPr>
            <w:tcW w:w="3106" w:type="dxa"/>
            <w:gridSpan w:val="8"/>
            <w:noWrap w:val="0"/>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2" w:type="dxa"/>
            <w:gridSpan w:val="2"/>
            <w:noWrap w:val="0"/>
            <w:vAlign w:val="center"/>
          </w:tcPr>
          <w:p>
            <w:pPr>
              <w:keepNext w:val="0"/>
              <w:keepLines w:val="0"/>
              <w:suppressLineNumbers w:val="0"/>
              <w:autoSpaceDN w:val="0"/>
              <w:spacing w:before="0" w:beforeAutospacing="0" w:after="0" w:afterAutospacing="0" w:line="320" w:lineRule="exact"/>
              <w:ind w:left="0" w:leftChars="0" w:right="0" w:rightChars="0"/>
              <w:jc w:val="center"/>
              <w:textAlignment w:val="center"/>
              <w:rPr>
                <w:rFonts w:hint="default"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t>向  爽</w:t>
            </w:r>
          </w:p>
        </w:tc>
        <w:tc>
          <w:tcPr>
            <w:tcW w:w="3563" w:type="dxa"/>
            <w:gridSpan w:val="6"/>
            <w:noWrap w:val="0"/>
            <w:vAlign w:val="center"/>
          </w:tcPr>
          <w:p>
            <w:pPr>
              <w:keepNext w:val="0"/>
              <w:keepLines w:val="0"/>
              <w:suppressLineNumbers w:val="0"/>
              <w:autoSpaceDN w:val="0"/>
              <w:spacing w:before="0" w:beforeAutospacing="0" w:after="0" w:afterAutospacing="0" w:line="320" w:lineRule="exact"/>
              <w:ind w:left="0" w:leftChars="0" w:right="0" w:rightChars="0"/>
              <w:jc w:val="center"/>
              <w:textAlignment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党组成员、副局长</w:t>
            </w:r>
          </w:p>
        </w:tc>
        <w:tc>
          <w:tcPr>
            <w:tcW w:w="1479" w:type="dxa"/>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21"/>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吉首市发展和改革局</w:t>
            </w:r>
          </w:p>
        </w:tc>
        <w:tc>
          <w:tcPr>
            <w:tcW w:w="3106" w:type="dxa"/>
            <w:gridSpan w:val="8"/>
            <w:noWrap w:val="0"/>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2" w:type="dxa"/>
            <w:gridSpan w:val="2"/>
            <w:noWrap w:val="0"/>
            <w:vAlign w:val="center"/>
          </w:tcPr>
          <w:p>
            <w:pPr>
              <w:keepNext w:val="0"/>
              <w:keepLines w:val="0"/>
              <w:suppressLineNumbers w:val="0"/>
              <w:autoSpaceDN w:val="0"/>
              <w:spacing w:before="0" w:beforeAutospacing="0" w:after="0" w:afterAutospacing="0" w:line="320" w:lineRule="exact"/>
              <w:ind w:left="0" w:leftChars="0" w:right="0" w:rightChars="0"/>
              <w:jc w:val="center"/>
              <w:textAlignment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龙</w:t>
            </w: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Cs w:val="21"/>
                <w:lang w:eastAsia="zh-CN"/>
                <w14:textFill>
                  <w14:solidFill>
                    <w14:schemeClr w14:val="tx1"/>
                  </w14:solidFill>
                </w14:textFill>
              </w:rPr>
              <w:t>飞</w:t>
            </w:r>
          </w:p>
        </w:tc>
        <w:tc>
          <w:tcPr>
            <w:tcW w:w="3563" w:type="dxa"/>
            <w:gridSpan w:val="6"/>
            <w:noWrap w:val="0"/>
            <w:vAlign w:val="center"/>
          </w:tcPr>
          <w:p>
            <w:pPr>
              <w:keepNext w:val="0"/>
              <w:keepLines w:val="0"/>
              <w:suppressLineNumbers w:val="0"/>
              <w:autoSpaceDN w:val="0"/>
              <w:spacing w:before="0" w:beforeAutospacing="0" w:after="0" w:afterAutospacing="0" w:line="320" w:lineRule="exact"/>
              <w:ind w:left="0" w:leftChars="0" w:right="0" w:rightChars="0"/>
              <w:jc w:val="center"/>
              <w:textAlignment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党组成员、副局长</w:t>
            </w:r>
          </w:p>
        </w:tc>
        <w:tc>
          <w:tcPr>
            <w:tcW w:w="1479" w:type="dxa"/>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21"/>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吉首市发展和改革局</w:t>
            </w:r>
          </w:p>
        </w:tc>
        <w:tc>
          <w:tcPr>
            <w:tcW w:w="3106" w:type="dxa"/>
            <w:gridSpan w:val="8"/>
            <w:noWrap w:val="0"/>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2" w:type="dxa"/>
            <w:gridSpan w:val="2"/>
            <w:noWrap w:val="0"/>
            <w:vAlign w:val="center"/>
          </w:tcPr>
          <w:p>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1"/>
                <w:szCs w:val="21"/>
                <w:lang w:eastAsia="zh-CN"/>
              </w:rPr>
              <w:t>向文涛</w:t>
            </w:r>
          </w:p>
        </w:tc>
        <w:tc>
          <w:tcPr>
            <w:tcW w:w="3563" w:type="dxa"/>
            <w:gridSpan w:val="6"/>
            <w:noWrap w:val="0"/>
            <w:vAlign w:val="center"/>
          </w:tcPr>
          <w:p>
            <w:pPr>
              <w:autoSpaceDN w:val="0"/>
              <w:spacing w:line="320" w:lineRule="exact"/>
              <w:jc w:val="center"/>
              <w:textAlignment w:val="center"/>
              <w:rPr>
                <w:rFonts w:eastAsia="仿宋_GB2312" w:cs="仿宋_GB2312"/>
                <w:sz w:val="24"/>
              </w:rPr>
            </w:pPr>
            <w:r>
              <w:rPr>
                <w:rFonts w:hint="eastAsia" w:ascii="仿宋_GB2312" w:hAnsi="仿宋_GB2312" w:eastAsia="仿宋_GB2312" w:cs="仿宋_GB2312"/>
                <w:color w:val="000000" w:themeColor="text1"/>
                <w:szCs w:val="21"/>
                <w:lang w:eastAsia="zh-CN"/>
                <w14:textFill>
                  <w14:solidFill>
                    <w14:schemeClr w14:val="tx1"/>
                  </w14:solidFill>
                </w14:textFill>
              </w:rPr>
              <w:t>党组成员、国动办专职副主任</w:t>
            </w:r>
          </w:p>
        </w:tc>
        <w:tc>
          <w:tcPr>
            <w:tcW w:w="1479" w:type="dxa"/>
            <w:noWrap w:val="0"/>
            <w:vAlign w:val="center"/>
          </w:tcPr>
          <w:p>
            <w:pPr>
              <w:autoSpaceDN w:val="0"/>
              <w:spacing w:line="320" w:lineRule="exact"/>
              <w:jc w:val="center"/>
              <w:textAlignment w:val="center"/>
              <w:rPr>
                <w:rFonts w:eastAsia="仿宋_GB2312" w:cs="仿宋_GB2312"/>
                <w:sz w:val="24"/>
              </w:rPr>
            </w:pPr>
            <w:r>
              <w:rPr>
                <w:rFonts w:hint="eastAsia" w:ascii="仿宋_GB2312" w:hAnsi="仿宋_GB2312" w:eastAsia="仿宋_GB2312" w:cs="仿宋_GB2312"/>
                <w:color w:val="000000" w:themeColor="text1"/>
                <w:szCs w:val="21"/>
                <w14:textFill>
                  <w14:solidFill>
                    <w14:schemeClr w14:val="tx1"/>
                  </w14:solidFill>
                </w14:textFill>
              </w:rPr>
              <w:t>吉首市发展和改革局</w:t>
            </w:r>
          </w:p>
        </w:tc>
        <w:tc>
          <w:tcPr>
            <w:tcW w:w="3106" w:type="dxa"/>
            <w:gridSpan w:val="8"/>
            <w:noWrap w:val="0"/>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2" w:type="dxa"/>
            <w:gridSpan w:val="2"/>
            <w:noWrap w:val="0"/>
            <w:vAlign w:val="center"/>
          </w:tcPr>
          <w:p>
            <w:pPr>
              <w:keepNext w:val="0"/>
              <w:keepLines w:val="0"/>
              <w:suppressLineNumbers w:val="0"/>
              <w:autoSpaceDN w:val="0"/>
              <w:spacing w:before="0" w:beforeAutospacing="0" w:after="0" w:afterAutospacing="0" w:line="320" w:lineRule="exact"/>
              <w:ind w:left="0" w:leftChars="0" w:right="0" w:rightChars="0"/>
              <w:jc w:val="center"/>
              <w:textAlignment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杨</w:t>
            </w: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Cs w:val="21"/>
                <w14:textFill>
                  <w14:solidFill>
                    <w14:schemeClr w14:val="tx1"/>
                  </w14:solidFill>
                </w14:textFill>
              </w:rPr>
              <w:t>羽</w:t>
            </w:r>
          </w:p>
        </w:tc>
        <w:tc>
          <w:tcPr>
            <w:tcW w:w="3563" w:type="dxa"/>
            <w:gridSpan w:val="6"/>
            <w:noWrap w:val="0"/>
            <w:vAlign w:val="center"/>
          </w:tcPr>
          <w:p>
            <w:pPr>
              <w:keepNext w:val="0"/>
              <w:keepLines w:val="0"/>
              <w:suppressLineNumbers w:val="0"/>
              <w:autoSpaceDN w:val="0"/>
              <w:spacing w:before="0" w:beforeAutospacing="0" w:after="0" w:afterAutospacing="0" w:line="320" w:lineRule="exact"/>
              <w:ind w:left="0" w:leftChars="0" w:right="0" w:rightChars="0"/>
              <w:jc w:val="center"/>
              <w:textAlignment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工作人员</w:t>
            </w:r>
          </w:p>
        </w:tc>
        <w:tc>
          <w:tcPr>
            <w:tcW w:w="1479" w:type="dxa"/>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21"/>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吉首市发展和改革局</w:t>
            </w:r>
          </w:p>
        </w:tc>
        <w:tc>
          <w:tcPr>
            <w:tcW w:w="3106" w:type="dxa"/>
            <w:gridSpan w:val="8"/>
            <w:noWrap w:val="0"/>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2" w:type="dxa"/>
            <w:gridSpan w:val="2"/>
            <w:noWrap w:val="0"/>
            <w:vAlign w:val="center"/>
          </w:tcPr>
          <w:p>
            <w:pPr>
              <w:keepNext w:val="0"/>
              <w:keepLines w:val="0"/>
              <w:suppressLineNumbers w:val="0"/>
              <w:autoSpaceDN w:val="0"/>
              <w:spacing w:before="0" w:beforeAutospacing="0" w:after="0" w:afterAutospacing="0" w:line="320" w:lineRule="exact"/>
              <w:ind w:left="0" w:leftChars="0" w:right="0" w:rightChars="0"/>
              <w:jc w:val="center"/>
              <w:textAlignment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谭伊伶</w:t>
            </w:r>
          </w:p>
        </w:tc>
        <w:tc>
          <w:tcPr>
            <w:tcW w:w="3563" w:type="dxa"/>
            <w:gridSpan w:val="6"/>
            <w:noWrap w:val="0"/>
            <w:vAlign w:val="center"/>
          </w:tcPr>
          <w:p>
            <w:pPr>
              <w:keepNext w:val="0"/>
              <w:keepLines w:val="0"/>
              <w:suppressLineNumbers w:val="0"/>
              <w:autoSpaceDN w:val="0"/>
              <w:spacing w:before="0" w:beforeAutospacing="0" w:after="0" w:afterAutospacing="0" w:line="320" w:lineRule="exact"/>
              <w:ind w:left="0" w:leftChars="0" w:right="0" w:rightChars="0"/>
              <w:jc w:val="center"/>
              <w:textAlignment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工作人员</w:t>
            </w:r>
          </w:p>
        </w:tc>
        <w:tc>
          <w:tcPr>
            <w:tcW w:w="1479" w:type="dxa"/>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21"/>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吉首市发展和改革局</w:t>
            </w:r>
          </w:p>
        </w:tc>
        <w:tc>
          <w:tcPr>
            <w:tcW w:w="3106" w:type="dxa"/>
            <w:gridSpan w:val="8"/>
            <w:noWrap w:val="0"/>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82" w:hRule="atLeast"/>
          <w:jc w:val="center"/>
        </w:trPr>
        <w:tc>
          <w:tcPr>
            <w:tcW w:w="9800" w:type="dxa"/>
            <w:gridSpan w:val="17"/>
            <w:noWrap w:val="0"/>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评价组组长签署意见：</w:t>
            </w: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ind w:firstLine="5760" w:firstLineChars="2400"/>
              <w:jc w:val="left"/>
              <w:textAlignment w:val="center"/>
              <w:rPr>
                <w:rFonts w:eastAsia="仿宋_GB2312" w:cs="仿宋_GB2312"/>
                <w:sz w:val="24"/>
              </w:rPr>
            </w:pPr>
            <w:r>
              <w:rPr>
                <w:rFonts w:hint="eastAsia" w:eastAsia="仿宋_GB2312" w:cs="仿宋_GB2312"/>
                <w:sz w:val="24"/>
              </w:rPr>
              <w:t>评价组组长（签字）：</w:t>
            </w: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r>
              <w:rPr>
                <w:rFonts w:hint="eastAsia" w:eastAsia="仿宋_GB2312" w:cs="仿宋_GB2312"/>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noWrap w:val="0"/>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部门（单位）意见：</w:t>
            </w: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r>
              <w:rPr>
                <w:rFonts w:hint="eastAsia" w:eastAsia="仿宋_GB2312" w:cs="仿宋_GB2312"/>
                <w:sz w:val="24"/>
              </w:rPr>
              <w:t xml:space="preserve">      部门（单位）负责人（签字）：                部门（单位）（盖章）：</w:t>
            </w: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r>
              <w:rPr>
                <w:rFonts w:hint="eastAsia" w:eastAsia="仿宋_GB2312" w:cs="仿宋_GB2312"/>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noWrap w:val="0"/>
            <w:vAlign w:val="center"/>
          </w:tcPr>
          <w:p>
            <w:pPr>
              <w:spacing w:line="320" w:lineRule="exact"/>
              <w:rPr>
                <w:rFonts w:eastAsia="仿宋_GB2312"/>
                <w:sz w:val="24"/>
              </w:rPr>
            </w:pPr>
            <w:r>
              <w:rPr>
                <w:rFonts w:hint="eastAsia" w:eastAsia="仿宋_GB2312"/>
                <w:sz w:val="24"/>
              </w:rPr>
              <w:t>财政部门归口业务股室意见：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财政部门归口业务股室负责人（签字）：         财政部门归口业务股室（盖章）：</w:t>
            </w:r>
          </w:p>
          <w:p>
            <w:pPr>
              <w:autoSpaceDN w:val="0"/>
              <w:spacing w:line="320" w:lineRule="exact"/>
              <w:jc w:val="left"/>
              <w:textAlignment w:val="center"/>
              <w:rPr>
                <w:rFonts w:eastAsia="仿宋_GB2312"/>
                <w:sz w:val="24"/>
              </w:rPr>
            </w:pPr>
            <w:r>
              <w:rPr>
                <w:rFonts w:hint="eastAsia" w:eastAsia="仿宋_GB2312"/>
                <w:sz w:val="24"/>
              </w:rPr>
              <w:t xml:space="preserve">                                                                 </w:t>
            </w:r>
          </w:p>
          <w:p>
            <w:pPr>
              <w:autoSpaceDN w:val="0"/>
              <w:spacing w:line="320" w:lineRule="exact"/>
              <w:ind w:firstLine="7680" w:firstLineChars="3200"/>
              <w:jc w:val="left"/>
              <w:textAlignment w:val="center"/>
              <w:rPr>
                <w:rFonts w:eastAsia="仿宋_GB2312" w:cs="仿宋_GB2312"/>
                <w:sz w:val="24"/>
              </w:rPr>
            </w:pPr>
            <w:r>
              <w:rPr>
                <w:rFonts w:hint="eastAsia" w:eastAsia="仿宋_GB2312"/>
                <w:sz w:val="24"/>
              </w:rPr>
              <w:t>年    月   日</w:t>
            </w:r>
          </w:p>
        </w:tc>
      </w:tr>
    </w:tbl>
    <w:tbl>
      <w:tblPr>
        <w:tblStyle w:val="10"/>
        <w:tblpPr w:leftFromText="180" w:rightFromText="180" w:vertAnchor="text" w:tblpX="10483" w:tblpY="-327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946" w:type="dxa"/>
            <w:noWrap w:val="0"/>
            <w:vAlign w:val="top"/>
          </w:tcPr>
          <w:p>
            <w:pPr>
              <w:spacing w:line="560" w:lineRule="exact"/>
              <w:ind w:left="5250"/>
              <w:jc w:val="center"/>
              <w:rPr>
                <w:rFonts w:eastAsia="方正小标宋_GBK"/>
                <w:kern w:val="0"/>
                <w:sz w:val="36"/>
                <w:szCs w:val="36"/>
              </w:rPr>
            </w:pPr>
          </w:p>
        </w:tc>
      </w:tr>
    </w:tbl>
    <w:p>
      <w:pPr>
        <w:spacing w:line="560" w:lineRule="exact"/>
        <w:jc w:val="center"/>
        <w:rPr>
          <w:rFonts w:eastAsia="方正小标宋_GBK"/>
          <w:sz w:val="36"/>
          <w:szCs w:val="36"/>
        </w:rPr>
      </w:pPr>
    </w:p>
    <w:p>
      <w:pPr>
        <w:spacing w:line="560" w:lineRule="exact"/>
        <w:jc w:val="center"/>
        <w:rPr>
          <w:rFonts w:eastAsia="方正小标宋_GBK"/>
          <w:sz w:val="36"/>
          <w:szCs w:val="36"/>
        </w:rPr>
      </w:pPr>
    </w:p>
    <w:p>
      <w:pPr>
        <w:spacing w:line="560" w:lineRule="exact"/>
        <w:jc w:val="center"/>
        <w:rPr>
          <w:rFonts w:eastAsia="方正小标宋_GBK"/>
          <w:sz w:val="36"/>
          <w:szCs w:val="36"/>
        </w:rPr>
      </w:pPr>
    </w:p>
    <w:p>
      <w:pPr>
        <w:rPr>
          <w:rFonts w:eastAsia="微软雅黑" w:cs="Arial"/>
          <w:bCs/>
          <w:sz w:val="44"/>
          <w:szCs w:val="44"/>
        </w:rPr>
      </w:pPr>
      <w:r>
        <w:rPr>
          <w:rFonts w:hint="eastAsia" w:eastAsia="微软雅黑" w:cs="Arial"/>
          <w:bCs/>
          <w:sz w:val="44"/>
          <w:szCs w:val="44"/>
        </w:rPr>
        <w:br w:type="page"/>
      </w:r>
    </w:p>
    <w:p>
      <w:pPr>
        <w:spacing w:line="578" w:lineRule="atLeast"/>
        <w:ind w:firstLine="1760" w:firstLineChars="400"/>
        <w:rPr>
          <w:rFonts w:eastAsia="微软雅黑" w:cs="Arial"/>
          <w:bCs/>
          <w:sz w:val="44"/>
          <w:szCs w:val="44"/>
        </w:rPr>
      </w:pPr>
      <w:r>
        <w:rPr>
          <w:rFonts w:hint="eastAsia" w:eastAsia="微软雅黑" w:cs="Arial"/>
          <w:bCs/>
          <w:sz w:val="44"/>
          <w:szCs w:val="44"/>
        </w:rPr>
        <w:t>部门整体支出绩效评价报告</w:t>
      </w:r>
    </w:p>
    <w:p>
      <w:pPr>
        <w:spacing w:line="600" w:lineRule="exact"/>
        <w:jc w:val="center"/>
        <w:rPr>
          <w:rFonts w:eastAsia="楷体_GB2312"/>
          <w:sz w:val="32"/>
          <w:szCs w:val="32"/>
        </w:rPr>
      </w:pPr>
    </w:p>
    <w:p>
      <w:pPr>
        <w:keepNext w:val="0"/>
        <w:keepLines w:val="0"/>
        <w:pageBreakBefore w:val="0"/>
        <w:kinsoku/>
        <w:wordWrap/>
        <w:overflowPunct/>
        <w:topLinePunct w:val="0"/>
        <w:autoSpaceDE/>
        <w:autoSpaceDN/>
        <w:bidi w:val="0"/>
        <w:spacing w:line="500" w:lineRule="exact"/>
        <w:ind w:firstLine="640" w:firstLineChars="200"/>
        <w:rPr>
          <w:rFonts w:eastAsia="黑体"/>
          <w:sz w:val="32"/>
          <w:szCs w:val="32"/>
        </w:rPr>
      </w:pPr>
      <w:r>
        <w:rPr>
          <w:rFonts w:eastAsia="黑体"/>
          <w:sz w:val="32"/>
          <w:szCs w:val="32"/>
        </w:rPr>
        <w:t>一、基本情况</w:t>
      </w:r>
    </w:p>
    <w:p>
      <w:pPr>
        <w:keepNext w:val="0"/>
        <w:keepLines w:val="0"/>
        <w:pageBreakBefore w:val="0"/>
        <w:kinsoku/>
        <w:wordWrap/>
        <w:overflowPunct/>
        <w:topLinePunct w:val="0"/>
        <w:autoSpaceDE/>
        <w:autoSpaceDN/>
        <w:bidi w:val="0"/>
        <w:spacing w:line="50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（一）部门（单位）基本情况</w:t>
      </w:r>
    </w:p>
    <w:p>
      <w:pPr>
        <w:keepNext w:val="0"/>
        <w:keepLines w:val="0"/>
        <w:pageBreakBefore w:val="0"/>
        <w:shd w:val="clear"/>
        <w:kinsoku/>
        <w:wordWrap/>
        <w:overflowPunct/>
        <w:topLinePunct w:val="0"/>
        <w:autoSpaceDE/>
        <w:autoSpaceDN/>
        <w:bidi w:val="0"/>
        <w:spacing w:line="500" w:lineRule="exact"/>
        <w:ind w:firstLine="640" w:firstLineChars="200"/>
        <w:textAlignment w:val="baseline"/>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吉首市发展和改革局（以下简称市发改局）是市政府工作部门，为正科级，加挂吉首市粮食和物资储备局牌子</w:t>
      </w:r>
      <w:r>
        <w:rPr>
          <w:rFonts w:hint="eastAsia" w:ascii="仿宋_GB2312" w:hAnsi="仿宋_GB2312" w:eastAsia="仿宋_GB2312" w:cs="仿宋_GB2312"/>
          <w:color w:val="000000" w:themeColor="text1"/>
          <w:kern w:val="0"/>
          <w:sz w:val="32"/>
          <w:szCs w:val="32"/>
          <w14:textFill>
            <w14:solidFill>
              <w14:schemeClr w14:val="tx1"/>
            </w14:solidFill>
          </w14:textFill>
        </w:rPr>
        <w:t>。统一社会信用代码11433101006694496M，办公地址：吉首市市政大楼B栋11楼，法人代表：</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张强</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autoSpaceDE/>
        <w:autoSpaceDN/>
        <w:bidi w:val="0"/>
        <w:spacing w:line="500" w:lineRule="exact"/>
        <w:ind w:firstLine="640" w:firstLineChars="200"/>
        <w:textAlignment w:val="baseline"/>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市发展和改革局</w:t>
      </w:r>
      <w:r>
        <w:rPr>
          <w:rFonts w:hint="eastAsia" w:ascii="仿宋_GB2312" w:hAnsi="仿宋_GB2312" w:eastAsia="仿宋_GB2312" w:cs="仿宋_GB2312"/>
          <w:color w:val="000000"/>
          <w:sz w:val="32"/>
          <w:szCs w:val="32"/>
          <w:shd w:val="clear" w:color="auto" w:fill="FFFFFF"/>
        </w:rPr>
        <w:t>设</w:t>
      </w:r>
      <w:r>
        <w:rPr>
          <w:rFonts w:hint="eastAsia" w:ascii="仿宋_GB2312" w:hAnsi="仿宋_GB2312" w:eastAsia="仿宋_GB2312" w:cs="仿宋_GB2312"/>
          <w:color w:val="000000"/>
          <w:sz w:val="32"/>
          <w:szCs w:val="32"/>
          <w:shd w:val="clear" w:color="auto" w:fill="FFFFFF"/>
          <w:lang w:val="en-US" w:eastAsia="zh-CN"/>
        </w:rPr>
        <w:t>11</w:t>
      </w:r>
      <w:r>
        <w:rPr>
          <w:rFonts w:hint="eastAsia" w:ascii="仿宋_GB2312" w:hAnsi="仿宋_GB2312" w:eastAsia="仿宋_GB2312" w:cs="仿宋_GB2312"/>
          <w:color w:val="000000"/>
          <w:sz w:val="32"/>
          <w:szCs w:val="32"/>
          <w:shd w:val="clear" w:color="auto" w:fill="FFFFFF"/>
        </w:rPr>
        <w:t>个内设机构，分别为办公室（党建办公室）、法规股（行政审批服务股）、固定资产投资股（基础产业股）、社会事业发展股、地区协调发展股、工业与高技术产业股（能源工作股）、物资储备发展与检查股（军粮供应股）、价格审批股、以工代赈办公室（湘西地区开发办公室）</w:t>
      </w:r>
      <w:r>
        <w:rPr>
          <w:rFonts w:hint="eastAsia" w:ascii="仿宋_GB2312" w:hAnsi="仿宋_GB2312" w:eastAsia="仿宋_GB2312" w:cs="仿宋_GB2312"/>
          <w:color w:val="000000"/>
          <w:sz w:val="32"/>
          <w:szCs w:val="32"/>
          <w:shd w:val="clear" w:color="auto" w:fill="FFFFFF"/>
          <w:lang w:eastAsia="zh-CN"/>
        </w:rPr>
        <w:t>、资源节约与环境保护股、能源运行股</w:t>
      </w:r>
      <w:r>
        <w:rPr>
          <w:rFonts w:hint="eastAsia" w:ascii="仿宋_GB2312" w:hAnsi="仿宋_GB2312" w:eastAsia="仿宋_GB2312" w:cs="仿宋_GB2312"/>
          <w:color w:val="000000"/>
          <w:sz w:val="32"/>
          <w:szCs w:val="32"/>
          <w:shd w:val="clear" w:color="auto" w:fill="FFFFFF"/>
        </w:rPr>
        <w:t>。</w:t>
      </w:r>
    </w:p>
    <w:p>
      <w:pPr>
        <w:keepNext w:val="0"/>
        <w:keepLines w:val="0"/>
        <w:pageBreakBefore w:val="0"/>
        <w:numPr>
          <w:ilvl w:val="0"/>
          <w:numId w:val="1"/>
        </w:numPr>
        <w:kinsoku/>
        <w:wordWrap/>
        <w:overflowPunct/>
        <w:topLinePunct w:val="0"/>
        <w:autoSpaceDE/>
        <w:autoSpaceDN/>
        <w:bidi w:val="0"/>
        <w:spacing w:line="5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rPr>
        <w:t>部门（单位）年度整体支出绩效目标、市级专项资金绩效目标</w:t>
      </w:r>
    </w:p>
    <w:p>
      <w:pPr>
        <w:keepNext w:val="0"/>
        <w:keepLines w:val="0"/>
        <w:pageBreakBefore w:val="0"/>
        <w:numPr>
          <w:ilvl w:val="0"/>
          <w:numId w:val="0"/>
        </w:numPr>
        <w:kinsoku/>
        <w:wordWrap/>
        <w:overflowPunct/>
        <w:topLinePunct w:val="0"/>
        <w:autoSpaceDE/>
        <w:autoSpaceDN/>
        <w:bidi w:val="0"/>
        <w:spacing w:line="5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体支出绩效目标：保障了单位的正常运转，搞好经济运行形势分析，认真做好监测、预警，提出解决经济运行中存在问题的建议和意见。密切关注国家宏观调控政策新动向，重视研究一些带有全局性、长远性的重大问题，增强了经济运行分析的预见性、针对性和有效性；根据国家产业政策调整方向和投资重点，着力抓好项目申报工作。</w:t>
      </w:r>
    </w:p>
    <w:p>
      <w:pPr>
        <w:pStyle w:val="3"/>
        <w:keepNext w:val="0"/>
        <w:keepLines w:val="0"/>
        <w:pageBreakBefore w:val="0"/>
        <w:kinsoku/>
        <w:wordWrap/>
        <w:overflowPunct/>
        <w:topLinePunct w:val="0"/>
        <w:autoSpaceDE/>
        <w:autoSpaceDN/>
        <w:bidi w:val="0"/>
        <w:spacing w:line="5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改项目前期工作经费（含项目可行性论证专项经费）绩效目标：贯彻落实省委“三高四新”战略和州委决策部署，聚焦“两个目标”“五个中心”，推进“三个兴市”“五区”联动，集中精力发展经济，做好项目申报、储备等工作，通过项目带动，增加就业岗位，增加财政收入，不断提高人民生活水平，为加快建设武陵山片区核心增长极贡献发改力量。</w:t>
      </w:r>
    </w:p>
    <w:p>
      <w:pPr>
        <w:pStyle w:val="3"/>
        <w:keepNext w:val="0"/>
        <w:keepLines w:val="0"/>
        <w:pageBreakBefore w:val="0"/>
        <w:kinsoku/>
        <w:wordWrap/>
        <w:overflowPunct/>
        <w:topLinePunct w:val="0"/>
        <w:autoSpaceDE/>
        <w:autoSpaceDN/>
        <w:bidi w:val="0"/>
        <w:spacing w:line="5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离休干部遗属生活补助绩效目标：有效保障离休干部遗属生活补助资金发放及时，切实提高离休干部遗属生活水平，确保社会安全稳定。</w:t>
      </w:r>
    </w:p>
    <w:p>
      <w:pPr>
        <w:pStyle w:val="3"/>
        <w:keepNext w:val="0"/>
        <w:keepLines w:val="0"/>
        <w:pageBreakBefore w:val="0"/>
        <w:kinsoku/>
        <w:wordWrap/>
        <w:overflowPunct/>
        <w:topLinePunct w:val="0"/>
        <w:autoSpaceDE/>
        <w:autoSpaceDN/>
        <w:bidi w:val="0"/>
        <w:spacing w:line="5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粮食安全专项（含包干经费243万、储备粮贷款贴息50万）绩效目标：维持粮食企业正常运转，确保我市粮食安全促进全市社会稳定和谐；在社会需求时能启动粮食应急预案，有效平稳调节我市粮食市场，规避粮食市场风险，平抑市场粮食价格，让党的惠民政策落到实处；建立4000吨吉首市市级储备粮的储备规模，确保我市粮食安全，在社会需求时能启动粮食应急预案，有效平稳调节我市粮食市场，规避粮食市场风险，平抑市场粮食价格，保护农民利益，保证军粮供应。</w:t>
      </w:r>
    </w:p>
    <w:p>
      <w:pPr>
        <w:pStyle w:val="3"/>
        <w:keepNext w:val="0"/>
        <w:keepLines w:val="0"/>
        <w:pageBreakBefore w:val="0"/>
        <w:kinsoku/>
        <w:wordWrap/>
        <w:overflowPunct/>
        <w:topLinePunct w:val="0"/>
        <w:autoSpaceDE/>
        <w:autoSpaceDN/>
        <w:bidi w:val="0"/>
        <w:spacing w:line="5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防费绩效目标：贯彻落实省委“三高四新”战略和州委决策部署，坚持“三个兴市”发展思路，积极推进国防动员、综合协调、政策法规、规划计划、动员准备、训练演练、组织实施、督查督导和人防建设管理等职能任务落实，全力推动市国防动员和城市防护建设水平高质量发展，为加快建设武陵山片区核心增长极贡献国动力量。</w:t>
      </w:r>
    </w:p>
    <w:p>
      <w:pPr>
        <w:keepNext w:val="0"/>
        <w:keepLines w:val="0"/>
        <w:pageBreakBefore w:val="0"/>
        <w:kinsoku/>
        <w:wordWrap/>
        <w:overflowPunct/>
        <w:topLinePunct w:val="0"/>
        <w:autoSpaceDE/>
        <w:autoSpaceDN/>
        <w:bidi w:val="0"/>
        <w:spacing w:line="500" w:lineRule="exact"/>
        <w:ind w:firstLine="640" w:firstLineChars="200"/>
        <w:rPr>
          <w:rFonts w:eastAsia="黑体"/>
          <w:sz w:val="32"/>
          <w:szCs w:val="32"/>
        </w:rPr>
      </w:pPr>
      <w:r>
        <w:rPr>
          <w:rFonts w:eastAsia="黑体"/>
          <w:sz w:val="32"/>
          <w:szCs w:val="32"/>
        </w:rPr>
        <w:t>二、一般公共预算支出情况</w:t>
      </w:r>
    </w:p>
    <w:p>
      <w:pPr>
        <w:pStyle w:val="12"/>
        <w:keepNext w:val="0"/>
        <w:keepLines w:val="0"/>
        <w:pageBreakBefore w:val="0"/>
        <w:kinsoku/>
        <w:wordWrap/>
        <w:overflowPunct/>
        <w:topLinePunct w:val="0"/>
        <w:autoSpaceDE/>
        <w:autoSpaceDN/>
        <w:bidi w:val="0"/>
        <w:spacing w:line="500" w:lineRule="exact"/>
        <w:ind w:firstLine="643"/>
        <w:rPr>
          <w:rFonts w:hint="eastAsia" w:ascii="Times New Roman" w:hAnsi="Times New Roman" w:cs="宋体"/>
          <w:b/>
          <w:bCs/>
          <w:sz w:val="32"/>
          <w:szCs w:val="32"/>
        </w:rPr>
      </w:pPr>
      <w:r>
        <w:rPr>
          <w:rFonts w:ascii="Times New Roman" w:hAnsi="Times New Roman" w:eastAsia="楷体_GB2312"/>
          <w:b/>
          <w:bCs/>
          <w:sz w:val="32"/>
          <w:szCs w:val="32"/>
        </w:rPr>
        <w:t>（一）基本支出情</w:t>
      </w:r>
      <w:r>
        <w:rPr>
          <w:rFonts w:hint="eastAsia" w:ascii="Times New Roman" w:hAnsi="Times New Roman" w:cs="宋体"/>
          <w:b/>
          <w:bCs/>
          <w:sz w:val="32"/>
          <w:szCs w:val="32"/>
        </w:rPr>
        <w:t>况</w:t>
      </w:r>
    </w:p>
    <w:p>
      <w:pPr>
        <w:keepNext w:val="0"/>
        <w:keepLines w:val="0"/>
        <w:pageBreakBefore w:val="0"/>
        <w:shd w:val="clear"/>
        <w:kinsoku/>
        <w:wordWrap/>
        <w:overflowPunct/>
        <w:topLinePunct w:val="0"/>
        <w:autoSpaceDE/>
        <w:autoSpaceDN/>
        <w:bidi w:val="0"/>
        <w:spacing w:line="500" w:lineRule="exact"/>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202</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bCs/>
          <w:color w:val="000000" w:themeColor="text1"/>
          <w:sz w:val="32"/>
          <w:szCs w:val="32"/>
          <w14:textFill>
            <w14:solidFill>
              <w14:schemeClr w14:val="tx1"/>
            </w14:solidFill>
          </w14:textFill>
        </w:rPr>
        <w:t>年度一般公共预算财政拨款基本支出848.48万元，人员经费为766.68万元，</w:t>
      </w:r>
      <w:r>
        <w:rPr>
          <w:rFonts w:hint="eastAsia" w:ascii="仿宋_GB2312" w:hAnsi="仿宋_GB2312" w:eastAsia="仿宋_GB2312" w:cs="仿宋_GB2312"/>
          <w:color w:val="000000" w:themeColor="text1"/>
          <w:sz w:val="32"/>
          <w:szCs w:val="32"/>
          <w14:textFill>
            <w14:solidFill>
              <w14:schemeClr w14:val="tx1"/>
            </w14:solidFill>
          </w14:textFill>
        </w:rPr>
        <w:t>其中：基本工资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229.64</w:t>
      </w:r>
      <w:r>
        <w:rPr>
          <w:rFonts w:hint="eastAsia" w:ascii="仿宋_GB2312" w:hAnsi="仿宋_GB2312" w:eastAsia="仿宋_GB2312" w:cs="仿宋_GB2312"/>
          <w:color w:val="000000" w:themeColor="text1"/>
          <w:sz w:val="32"/>
          <w:szCs w:val="32"/>
          <w14:textFill>
            <w14:solidFill>
              <w14:schemeClr w14:val="tx1"/>
            </w14:solidFill>
          </w14:textFill>
        </w:rPr>
        <w:t>万元，津贴补贴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110.65</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奖金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46.89万元、</w:t>
      </w:r>
      <w:r>
        <w:rPr>
          <w:rFonts w:hint="eastAsia" w:ascii="仿宋_GB2312" w:hAnsi="仿宋_GB2312" w:eastAsia="仿宋_GB2312" w:cs="仿宋_GB2312"/>
          <w:color w:val="000000" w:themeColor="text1"/>
          <w:sz w:val="32"/>
          <w:szCs w:val="32"/>
          <w14:textFill>
            <w14:solidFill>
              <w14:schemeClr w14:val="tx1"/>
            </w14:solidFill>
          </w14:textFill>
        </w:rPr>
        <w:t>绩效工资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165.62</w:t>
      </w:r>
      <w:r>
        <w:rPr>
          <w:rFonts w:hint="eastAsia" w:ascii="仿宋_GB2312" w:hAnsi="仿宋_GB2312" w:eastAsia="仿宋_GB2312" w:cs="仿宋_GB2312"/>
          <w:color w:val="000000" w:themeColor="text1"/>
          <w:sz w:val="32"/>
          <w:szCs w:val="32"/>
          <w14:textFill>
            <w14:solidFill>
              <w14:schemeClr w14:val="tx1"/>
            </w14:solidFill>
          </w14:textFill>
        </w:rPr>
        <w:t>万元，机关事业单位基本养老保障缴费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72.92</w:t>
      </w:r>
      <w:r>
        <w:rPr>
          <w:rFonts w:hint="eastAsia" w:ascii="仿宋_GB2312" w:hAnsi="仿宋_GB2312" w:eastAsia="仿宋_GB2312" w:cs="仿宋_GB2312"/>
          <w:color w:val="000000" w:themeColor="text1"/>
          <w:sz w:val="32"/>
          <w:szCs w:val="32"/>
          <w14:textFill>
            <w14:solidFill>
              <w14:schemeClr w14:val="tx1"/>
            </w14:solidFill>
          </w14:textFill>
        </w:rPr>
        <w:t>万元，职工基本医疗保险缴</w:t>
      </w:r>
      <w:r>
        <w:rPr>
          <w:rFonts w:hint="eastAsia" w:ascii="仿宋_GB2312" w:hAnsi="仿宋_GB2312" w:eastAsia="仿宋_GB2312" w:cs="仿宋_GB2312"/>
          <w:color w:val="000000" w:themeColor="text1"/>
          <w:sz w:val="32"/>
          <w:szCs w:val="32"/>
          <w:lang w:eastAsia="zh-CN"/>
          <w14:textFill>
            <w14:solidFill>
              <w14:schemeClr w14:val="tx1"/>
            </w14:solidFill>
          </w14:textFill>
        </w:rPr>
        <w:t>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38.74</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其他社会保障缴费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4.31万元，住房公积金58.73万元，</w:t>
      </w:r>
      <w:r>
        <w:rPr>
          <w:rFonts w:hint="eastAsia" w:ascii="仿宋_GB2312" w:hAnsi="仿宋_GB2312" w:eastAsia="仿宋_GB2312" w:cs="仿宋_GB2312"/>
          <w:color w:val="000000" w:themeColor="text1"/>
          <w:sz w:val="32"/>
          <w:szCs w:val="32"/>
          <w14:textFill>
            <w14:solidFill>
              <w14:schemeClr w14:val="tx1"/>
            </w14:solidFill>
          </w14:textFill>
        </w:rPr>
        <w:t>其他工资福利支出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3.23</w:t>
      </w:r>
      <w:r>
        <w:rPr>
          <w:rFonts w:hint="eastAsia" w:ascii="仿宋_GB2312" w:hAnsi="仿宋_GB2312" w:eastAsia="仿宋_GB2312" w:cs="仿宋_GB2312"/>
          <w:color w:val="000000" w:themeColor="text1"/>
          <w:sz w:val="32"/>
          <w:szCs w:val="32"/>
          <w14:textFill>
            <w14:solidFill>
              <w14:schemeClr w14:val="tx1"/>
            </w14:solidFill>
          </w14:textFill>
        </w:rPr>
        <w:t>万元，生活补助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5.56</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奖励金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30.39万元</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公用经费</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81.8</w:t>
      </w:r>
      <w:r>
        <w:rPr>
          <w:rFonts w:hint="eastAsia" w:ascii="仿宋_GB2312" w:hAnsi="仿宋_GB2312" w:eastAsia="仿宋_GB2312" w:cs="仿宋_GB2312"/>
          <w:b/>
          <w:bCs/>
          <w:color w:val="000000" w:themeColor="text1"/>
          <w:sz w:val="32"/>
          <w:szCs w:val="32"/>
          <w14:textFill>
            <w14:solidFill>
              <w14:schemeClr w14:val="tx1"/>
            </w14:solidFill>
          </w14:textFill>
        </w:rPr>
        <w:t>万元。其中：</w:t>
      </w:r>
      <w:r>
        <w:rPr>
          <w:rFonts w:hint="eastAsia" w:ascii="仿宋_GB2312" w:hAnsi="仿宋_GB2312" w:eastAsia="仿宋_GB2312" w:cs="仿宋_GB2312"/>
          <w:color w:val="000000" w:themeColor="text1"/>
          <w:sz w:val="32"/>
          <w:szCs w:val="32"/>
          <w14:textFill>
            <w14:solidFill>
              <w14:schemeClr w14:val="tx1"/>
            </w14:solidFill>
          </w14:textFill>
        </w:rPr>
        <w:t>办公费0.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咨询费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5万元、差旅费2.85万元、维修（护）费0.59万元、培训费0.35万元、公务接待费0.65万元，</w:t>
      </w:r>
      <w:r>
        <w:rPr>
          <w:rFonts w:hint="eastAsia" w:ascii="仿宋_GB2312" w:hAnsi="仿宋_GB2312" w:eastAsia="仿宋_GB2312" w:cs="仿宋_GB2312"/>
          <w:color w:val="000000" w:themeColor="text1"/>
          <w:sz w:val="32"/>
          <w:szCs w:val="32"/>
          <w14:textFill>
            <w14:solidFill>
              <w14:schemeClr w14:val="tx1"/>
            </w14:solidFill>
          </w14:textFill>
        </w:rPr>
        <w:t>劳务费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1.65</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工会经费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30.86万元，福利费13.95万元，公务用车运行维护费4.8万元、其他交通费用0.04万元、其他商品和服务支出2.98万元、公务用车购置17.98万元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12"/>
        <w:keepNext w:val="0"/>
        <w:keepLines w:val="0"/>
        <w:pageBreakBefore w:val="0"/>
        <w:kinsoku/>
        <w:wordWrap/>
        <w:overflowPunct/>
        <w:topLinePunct w:val="0"/>
        <w:autoSpaceDE/>
        <w:autoSpaceDN/>
        <w:bidi w:val="0"/>
        <w:spacing w:line="500" w:lineRule="exact"/>
        <w:ind w:firstLine="643"/>
        <w:rPr>
          <w:rFonts w:ascii="Times New Roman" w:hAnsi="Times New Roman" w:eastAsia="楷体_GB2312"/>
          <w:b/>
          <w:bCs/>
          <w:sz w:val="32"/>
          <w:szCs w:val="32"/>
        </w:rPr>
      </w:pPr>
      <w:r>
        <w:rPr>
          <w:rFonts w:ascii="Times New Roman" w:hAnsi="Times New Roman" w:eastAsia="楷体_GB2312"/>
          <w:b/>
          <w:bCs/>
          <w:sz w:val="32"/>
          <w:szCs w:val="32"/>
        </w:rPr>
        <w:t>（二）项目支出情</w:t>
      </w:r>
      <w:r>
        <w:rPr>
          <w:rFonts w:hint="eastAsia" w:ascii="Times New Roman" w:hAnsi="Times New Roman" w:cs="宋体"/>
          <w:b/>
          <w:bCs/>
          <w:sz w:val="32"/>
          <w:szCs w:val="32"/>
        </w:rPr>
        <w:t>况</w:t>
      </w:r>
    </w:p>
    <w:p>
      <w:pPr>
        <w:keepNext w:val="0"/>
        <w:keepLines w:val="0"/>
        <w:pageBreakBefore w:val="0"/>
        <w:kinsoku/>
        <w:wordWrap/>
        <w:overflowPunct/>
        <w:topLinePunct w:val="0"/>
        <w:autoSpaceDE/>
        <w:autoSpaceDN/>
        <w:bidi w:val="0"/>
        <w:spacing w:line="500" w:lineRule="exact"/>
        <w:ind w:firstLine="640" w:firstLineChars="200"/>
        <w:textAlignment w:val="baseline"/>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年度市级专项资金</w:t>
      </w:r>
      <w:r>
        <w:rPr>
          <w:rFonts w:hint="eastAsia" w:ascii="仿宋_GB2312" w:hAnsi="仿宋_GB2312" w:eastAsia="仿宋_GB2312" w:cs="仿宋_GB2312"/>
          <w:color w:val="000000" w:themeColor="text1"/>
          <w:sz w:val="32"/>
          <w:szCs w:val="32"/>
          <w:lang w:eastAsia="zh-CN"/>
          <w14:textFill>
            <w14:solidFill>
              <w14:schemeClr w14:val="tx1"/>
            </w14:solidFill>
          </w14:textFill>
        </w:rPr>
        <w:t>预算内下拨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356.46</w:t>
      </w:r>
      <w:r>
        <w:rPr>
          <w:rFonts w:hint="eastAsia" w:ascii="仿宋_GB2312" w:hAnsi="仿宋_GB2312" w:eastAsia="仿宋_GB2312" w:cs="仿宋_GB2312"/>
          <w:color w:val="000000" w:themeColor="text1"/>
          <w:sz w:val="32"/>
          <w:szCs w:val="32"/>
          <w14:textFill>
            <w14:solidFill>
              <w14:schemeClr w14:val="tx1"/>
            </w14:solidFill>
          </w14:textFill>
        </w:rPr>
        <w:t>万元，一共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个专项，其中：</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离休干部遗属生活补助预算下拨</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1.8</w:t>
      </w:r>
      <w:r>
        <w:rPr>
          <w:rFonts w:hint="eastAsia" w:ascii="仿宋_GB2312" w:hAnsi="仿宋_GB2312" w:eastAsia="仿宋_GB2312" w:cs="仿宋_GB2312"/>
          <w:b/>
          <w:bCs/>
          <w:color w:val="000000" w:themeColor="text1"/>
          <w:sz w:val="32"/>
          <w:szCs w:val="32"/>
          <w14:textFill>
            <w14:solidFill>
              <w14:schemeClr w14:val="tx1"/>
            </w14:solidFill>
          </w14:textFill>
        </w:rPr>
        <w:t>万元，</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2024年度支出1.8万元，</w:t>
      </w:r>
      <w:r>
        <w:rPr>
          <w:rFonts w:hint="eastAsia" w:ascii="仿宋_GB2312" w:hAnsi="仿宋_GB2312" w:eastAsia="仿宋_GB2312" w:cs="仿宋_GB2312"/>
          <w:color w:val="000000" w:themeColor="text1"/>
          <w:sz w:val="32"/>
          <w:szCs w:val="32"/>
          <w14:textFill>
            <w14:solidFill>
              <w14:schemeClr w14:val="tx1"/>
            </w14:solidFill>
          </w14:textFill>
        </w:rPr>
        <w:t>主要用</w:t>
      </w:r>
      <w:r>
        <w:rPr>
          <w:rFonts w:hint="eastAsia" w:ascii="仿宋_GB2312" w:hAnsi="仿宋_GB2312" w:eastAsia="仿宋_GB2312" w:cs="仿宋_GB2312"/>
          <w:color w:val="000000" w:themeColor="text1"/>
          <w:sz w:val="32"/>
          <w:szCs w:val="32"/>
          <w:lang w:eastAsia="zh-CN"/>
          <w14:textFill>
            <w14:solidFill>
              <w14:schemeClr w14:val="tx1"/>
            </w14:solidFill>
          </w14:textFill>
        </w:rPr>
        <w:t>于遗属生活费发放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b/>
          <w:bCs/>
          <w:color w:val="000000" w:themeColor="text1"/>
          <w:sz w:val="32"/>
          <w:szCs w:val="32"/>
          <w14:textFill>
            <w14:solidFill>
              <w14:schemeClr w14:val="tx1"/>
            </w14:solidFill>
          </w14:textFill>
        </w:rPr>
        <w:t>粮食安全专项（含包干经费243万、储备粮贷款贴息50万）经费</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预算下拨</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284.66</w:t>
      </w:r>
      <w:r>
        <w:rPr>
          <w:rFonts w:hint="eastAsia" w:ascii="仿宋_GB2312" w:hAnsi="仿宋_GB2312" w:eastAsia="仿宋_GB2312" w:cs="仿宋_GB2312"/>
          <w:b/>
          <w:bCs/>
          <w:color w:val="000000" w:themeColor="text1"/>
          <w:sz w:val="32"/>
          <w:szCs w:val="32"/>
          <w14:textFill>
            <w14:solidFill>
              <w14:schemeClr w14:val="tx1"/>
            </w14:solidFill>
          </w14:textFill>
        </w:rPr>
        <w:t>万元，</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2024年度支出278.54万元，</w:t>
      </w:r>
      <w:r>
        <w:rPr>
          <w:rFonts w:hint="eastAsia" w:ascii="仿宋_GB2312" w:hAnsi="仿宋_GB2312" w:eastAsia="仿宋_GB2312" w:cs="仿宋_GB2312"/>
          <w:color w:val="auto"/>
          <w:sz w:val="32"/>
          <w:szCs w:val="32"/>
          <w:lang w:val="en-US" w:eastAsia="zh-CN"/>
        </w:rPr>
        <w:t>主要用于拨付人员支出214.61万元、办公费10.74万元、保管费11.53万元、支付利息41.66万元。</w:t>
      </w:r>
      <w:r>
        <w:rPr>
          <w:rFonts w:hint="eastAsia" w:ascii="仿宋_GB2312" w:hAnsi="仿宋_GB2312" w:eastAsia="仿宋_GB2312" w:cs="仿宋_GB2312"/>
          <w:b/>
          <w:bCs/>
          <w:color w:val="auto"/>
          <w:sz w:val="32"/>
          <w:szCs w:val="32"/>
          <w:lang w:eastAsia="zh-CN"/>
        </w:rPr>
        <w:t>人防费预算下拨</w:t>
      </w:r>
      <w:r>
        <w:rPr>
          <w:rFonts w:hint="eastAsia" w:ascii="仿宋_GB2312" w:hAnsi="仿宋_GB2312" w:eastAsia="仿宋_GB2312" w:cs="仿宋_GB2312"/>
          <w:b/>
          <w:bCs/>
          <w:color w:val="auto"/>
          <w:sz w:val="32"/>
          <w:szCs w:val="32"/>
          <w:lang w:val="en-US" w:eastAsia="zh-CN"/>
        </w:rPr>
        <w:t>70</w:t>
      </w:r>
      <w:r>
        <w:rPr>
          <w:rFonts w:hint="eastAsia" w:ascii="仿宋_GB2312" w:hAnsi="仿宋_GB2312" w:eastAsia="仿宋_GB2312" w:cs="仿宋_GB2312"/>
          <w:b/>
          <w:bCs/>
          <w:color w:val="auto"/>
          <w:sz w:val="32"/>
          <w:szCs w:val="32"/>
        </w:rPr>
        <w:t>万元，</w:t>
      </w:r>
      <w:r>
        <w:rPr>
          <w:rFonts w:hint="eastAsia" w:ascii="仿宋_GB2312" w:hAnsi="仿宋_GB2312" w:eastAsia="仿宋_GB2312" w:cs="仿宋_GB2312"/>
          <w:b/>
          <w:bCs/>
          <w:color w:val="auto"/>
          <w:sz w:val="32"/>
          <w:szCs w:val="32"/>
          <w:lang w:val="en-US" w:eastAsia="zh-CN"/>
        </w:rPr>
        <w:t>2024年度支出0万元。</w:t>
      </w:r>
    </w:p>
    <w:p>
      <w:pPr>
        <w:pStyle w:val="3"/>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2023年度市级专项资金结转到2024年度153.62万元，其中</w:t>
      </w:r>
      <w:r>
        <w:rPr>
          <w:rFonts w:hint="eastAsia" w:ascii="仿宋_GB2312" w:hAnsi="仿宋_GB2312" w:eastAsia="仿宋_GB2312" w:cs="仿宋_GB2312"/>
          <w:b/>
          <w:bCs/>
          <w:color w:val="auto"/>
          <w:sz w:val="32"/>
          <w:szCs w:val="32"/>
          <w:lang w:eastAsia="zh-CN"/>
        </w:rPr>
        <w:t>发改项目前期工作经费结转</w:t>
      </w:r>
      <w:r>
        <w:rPr>
          <w:rFonts w:hint="eastAsia" w:ascii="仿宋_GB2312" w:hAnsi="仿宋_GB2312" w:eastAsia="仿宋_GB2312" w:cs="仿宋_GB2312"/>
          <w:b/>
          <w:bCs/>
          <w:color w:val="auto"/>
          <w:sz w:val="32"/>
          <w:szCs w:val="32"/>
          <w:lang w:val="en-US" w:eastAsia="zh-CN"/>
        </w:rPr>
        <w:t>55.77万元，2024年度支出60.42万元，</w:t>
      </w:r>
      <w:r>
        <w:rPr>
          <w:rFonts w:hint="eastAsia" w:ascii="仿宋_GB2312" w:hAnsi="仿宋_GB2312" w:eastAsia="仿宋_GB2312" w:cs="仿宋_GB2312"/>
          <w:b w:val="0"/>
          <w:bCs w:val="0"/>
          <w:color w:val="auto"/>
          <w:sz w:val="32"/>
          <w:szCs w:val="32"/>
          <w:lang w:val="en-US" w:eastAsia="zh-CN"/>
        </w:rPr>
        <w:t>主要用于咨询费3.17万元、办公费0.77万元、差旅费5.54万元、福利费2.42万元、奖励金0.1万元、劳务费2.55万元、培训费0.07万元、其他交通0.04万元、其他商品34.97万元、工会经费3万元、医疗补助0.4万元、印刷费2.74万元。</w:t>
      </w:r>
      <w:r>
        <w:rPr>
          <w:rFonts w:hint="eastAsia" w:ascii="仿宋_GB2312" w:hAnsi="仿宋_GB2312" w:eastAsia="仿宋_GB2312" w:cs="仿宋_GB2312"/>
          <w:b/>
          <w:bCs/>
          <w:color w:val="auto"/>
          <w:sz w:val="32"/>
          <w:szCs w:val="32"/>
        </w:rPr>
        <w:t>项目可行性论证专项经费</w:t>
      </w:r>
      <w:r>
        <w:rPr>
          <w:rFonts w:hint="eastAsia" w:ascii="仿宋_GB2312" w:hAnsi="仿宋_GB2312" w:eastAsia="仿宋_GB2312" w:cs="仿宋_GB2312"/>
          <w:b/>
          <w:bCs/>
          <w:color w:val="auto"/>
          <w:sz w:val="32"/>
          <w:szCs w:val="32"/>
          <w:lang w:eastAsia="zh-CN"/>
        </w:rPr>
        <w:t>结转</w:t>
      </w:r>
      <w:r>
        <w:rPr>
          <w:rFonts w:hint="eastAsia" w:ascii="仿宋_GB2312" w:hAnsi="仿宋_GB2312" w:eastAsia="仿宋_GB2312" w:cs="仿宋_GB2312"/>
          <w:b/>
          <w:bCs/>
          <w:color w:val="auto"/>
          <w:sz w:val="32"/>
          <w:szCs w:val="32"/>
          <w:lang w:val="en-US" w:eastAsia="zh-CN"/>
        </w:rPr>
        <w:t>12万元，2024年度支出12万元，</w:t>
      </w:r>
      <w:r>
        <w:rPr>
          <w:rFonts w:hint="eastAsia" w:ascii="仿宋_GB2312" w:hAnsi="仿宋_GB2312" w:eastAsia="仿宋_GB2312" w:cs="仿宋_GB2312"/>
          <w:b w:val="0"/>
          <w:bCs w:val="0"/>
          <w:color w:val="auto"/>
          <w:sz w:val="32"/>
          <w:szCs w:val="32"/>
          <w:lang w:val="en-US" w:eastAsia="zh-CN"/>
        </w:rPr>
        <w:t>主要用于奖励金0.37万元、其他商品11.63万元。</w:t>
      </w:r>
      <w:r>
        <w:rPr>
          <w:rFonts w:hint="eastAsia" w:ascii="仿宋_GB2312" w:hAnsi="仿宋_GB2312" w:eastAsia="仿宋_GB2312" w:cs="仿宋_GB2312"/>
          <w:b/>
          <w:bCs/>
          <w:color w:val="auto"/>
          <w:sz w:val="32"/>
          <w:szCs w:val="32"/>
          <w:lang w:val="en-US" w:eastAsia="zh-CN"/>
        </w:rPr>
        <w:t>人防费专项经费结转85.85万元</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bCs/>
          <w:color w:val="auto"/>
          <w:sz w:val="32"/>
          <w:szCs w:val="32"/>
          <w:lang w:val="en-US" w:eastAsia="zh-CN"/>
        </w:rPr>
        <w:t>2024年度支出85.85万元，</w:t>
      </w:r>
      <w:r>
        <w:rPr>
          <w:rFonts w:hint="eastAsia" w:ascii="仿宋_GB2312" w:hAnsi="仿宋_GB2312" w:eastAsia="仿宋_GB2312" w:cs="仿宋_GB2312"/>
          <w:b w:val="0"/>
          <w:bCs w:val="0"/>
          <w:color w:val="auto"/>
          <w:sz w:val="32"/>
          <w:szCs w:val="32"/>
          <w:lang w:val="en-US" w:eastAsia="zh-CN"/>
        </w:rPr>
        <w:t>主要用于差旅费7.85万元、劳务费2.23万元、培训费0.95万元、其他交通0.07万元、其他商品29.91万元、办公费4.68万元、租赁费0.72万元、福利费5.81万元、工会经费5.7万元、奖励金1.84万元、物业费1.8万元、医疗补助费7.72万元、印刷费2.78万元、咨询费13.79万元。</w:t>
      </w:r>
    </w:p>
    <w:p>
      <w:pPr>
        <w:pStyle w:val="3"/>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2024年度预算外专项资金下拨1745.63万元，其中</w:t>
      </w:r>
      <w:r>
        <w:rPr>
          <w:rFonts w:hint="eastAsia" w:ascii="仿宋_GB2312" w:hAnsi="仿宋_GB2312" w:eastAsia="仿宋_GB2312" w:cs="仿宋_GB2312"/>
          <w:b/>
          <w:bCs/>
          <w:color w:val="auto"/>
          <w:sz w:val="32"/>
          <w:szCs w:val="32"/>
          <w:lang w:val="en-US" w:eastAsia="zh-CN"/>
        </w:rPr>
        <w:t>2022年度全州重点建设责任目标考核奖励资金支出56.67万元，</w:t>
      </w:r>
      <w:r>
        <w:rPr>
          <w:rFonts w:hint="eastAsia" w:ascii="仿宋_GB2312" w:hAnsi="仿宋_GB2312" w:eastAsia="仿宋_GB2312" w:cs="仿宋_GB2312"/>
          <w:b w:val="0"/>
          <w:bCs w:val="0"/>
          <w:color w:val="auto"/>
          <w:sz w:val="32"/>
          <w:szCs w:val="32"/>
          <w:lang w:val="en-US" w:eastAsia="zh-CN"/>
        </w:rPr>
        <w:t>主要用于办公费0.04万元、差旅费0.08万元、下拨经费55万元、咨询费1.55万元；</w:t>
      </w:r>
      <w:r>
        <w:rPr>
          <w:rFonts w:hint="eastAsia" w:ascii="仿宋_GB2312" w:hAnsi="仿宋_GB2312" w:eastAsia="仿宋_GB2312" w:cs="仿宋_GB2312"/>
          <w:b/>
          <w:bCs/>
          <w:color w:val="auto"/>
          <w:sz w:val="32"/>
          <w:szCs w:val="32"/>
          <w:lang w:val="en-US" w:eastAsia="zh-CN"/>
        </w:rPr>
        <w:t>州财建指〔2023〕62号下达县域经济高质量发展课题研究经费</w:t>
      </w:r>
      <w:r>
        <w:rPr>
          <w:rFonts w:hint="eastAsia" w:ascii="仿宋_GB2312" w:hAnsi="仿宋_GB2312" w:eastAsia="仿宋_GB2312" w:cs="仿宋_GB2312"/>
          <w:b w:val="0"/>
          <w:bCs w:val="0"/>
          <w:color w:val="auto"/>
          <w:sz w:val="32"/>
          <w:szCs w:val="32"/>
          <w:lang w:val="en-US" w:eastAsia="zh-CN"/>
        </w:rPr>
        <w:t>支出4万元，主要用于咨询费4万元；</w:t>
      </w:r>
      <w:r>
        <w:rPr>
          <w:rFonts w:hint="eastAsia" w:ascii="仿宋_GB2312" w:hAnsi="仿宋_GB2312" w:eastAsia="仿宋_GB2312" w:cs="仿宋_GB2312"/>
          <w:b/>
          <w:bCs/>
          <w:color w:val="auto"/>
          <w:sz w:val="32"/>
          <w:szCs w:val="32"/>
          <w:lang w:val="en-US" w:eastAsia="zh-CN"/>
        </w:rPr>
        <w:t>州财建指（2021）0063号2021年省预算内重大项目前期奖补资金</w:t>
      </w:r>
      <w:r>
        <w:rPr>
          <w:rFonts w:hint="eastAsia" w:ascii="仿宋_GB2312" w:hAnsi="仿宋_GB2312" w:eastAsia="仿宋_GB2312" w:cs="仿宋_GB2312"/>
          <w:b w:val="0"/>
          <w:bCs w:val="0"/>
          <w:color w:val="auto"/>
          <w:sz w:val="32"/>
          <w:szCs w:val="32"/>
          <w:lang w:val="en-US" w:eastAsia="zh-CN"/>
        </w:rPr>
        <w:t>支出5万元，主要用于印刷费5万元；</w:t>
      </w:r>
      <w:r>
        <w:rPr>
          <w:rFonts w:hint="eastAsia" w:ascii="仿宋_GB2312" w:hAnsi="仿宋_GB2312" w:eastAsia="仿宋_GB2312" w:cs="仿宋_GB2312"/>
          <w:b/>
          <w:bCs/>
          <w:color w:val="auto"/>
          <w:sz w:val="32"/>
          <w:szCs w:val="32"/>
          <w:lang w:val="en-US" w:eastAsia="zh-CN"/>
        </w:rPr>
        <w:t>州财建字〔2022〕0012号下达2021年省预算内基建资金（重大项目前期工作经费）</w:t>
      </w:r>
      <w:r>
        <w:rPr>
          <w:rFonts w:hint="eastAsia" w:ascii="仿宋_GB2312" w:hAnsi="仿宋_GB2312" w:eastAsia="仿宋_GB2312" w:cs="仿宋_GB2312"/>
          <w:b w:val="0"/>
          <w:bCs w:val="0"/>
          <w:color w:val="auto"/>
          <w:sz w:val="32"/>
          <w:szCs w:val="32"/>
          <w:lang w:val="en-US" w:eastAsia="zh-CN"/>
        </w:rPr>
        <w:t>支出43万元，主要用于咨询费4万元、下拨经费39万元；</w:t>
      </w:r>
      <w:r>
        <w:rPr>
          <w:rFonts w:hint="eastAsia" w:ascii="仿宋_GB2312" w:hAnsi="仿宋_GB2312" w:eastAsia="仿宋_GB2312" w:cs="仿宋_GB2312"/>
          <w:b/>
          <w:bCs/>
          <w:color w:val="auto"/>
          <w:sz w:val="32"/>
          <w:szCs w:val="32"/>
          <w:lang w:val="en-US" w:eastAsia="zh-CN"/>
        </w:rPr>
        <w:t>2023年度全州重点建设责任目标考核奖励资金</w:t>
      </w:r>
      <w:r>
        <w:rPr>
          <w:rFonts w:hint="eastAsia" w:ascii="仿宋_GB2312" w:hAnsi="仿宋_GB2312" w:eastAsia="仿宋_GB2312" w:cs="仿宋_GB2312"/>
          <w:b w:val="0"/>
          <w:bCs w:val="0"/>
          <w:color w:val="auto"/>
          <w:sz w:val="32"/>
          <w:szCs w:val="32"/>
          <w:lang w:val="en-US" w:eastAsia="zh-CN"/>
        </w:rPr>
        <w:t>支出15万元，主要用于奖励企业15万元；</w:t>
      </w:r>
      <w:r>
        <w:rPr>
          <w:rFonts w:hint="eastAsia" w:ascii="仿宋_GB2312" w:hAnsi="仿宋_GB2312" w:eastAsia="仿宋_GB2312" w:cs="仿宋_GB2312"/>
          <w:b/>
          <w:bCs/>
          <w:color w:val="auto"/>
          <w:sz w:val="32"/>
          <w:szCs w:val="32"/>
          <w:lang w:val="en-US" w:eastAsia="zh-CN"/>
        </w:rPr>
        <w:t>吉首市易地搬迁“微菜地”后续扶持奖补资金</w:t>
      </w:r>
      <w:r>
        <w:rPr>
          <w:rFonts w:hint="eastAsia" w:ascii="仿宋_GB2312" w:hAnsi="仿宋_GB2312" w:eastAsia="仿宋_GB2312" w:cs="仿宋_GB2312"/>
          <w:b w:val="0"/>
          <w:bCs w:val="0"/>
          <w:color w:val="auto"/>
          <w:sz w:val="32"/>
          <w:szCs w:val="32"/>
          <w:lang w:val="en-US" w:eastAsia="zh-CN"/>
        </w:rPr>
        <w:t>支出3.37万元，主要用于安置点电费3.37万元；</w:t>
      </w:r>
      <w:r>
        <w:rPr>
          <w:rFonts w:hint="eastAsia" w:ascii="仿宋_GB2312" w:hAnsi="仿宋_GB2312" w:eastAsia="仿宋_GB2312" w:cs="仿宋_GB2312"/>
          <w:b/>
          <w:bCs/>
          <w:color w:val="auto"/>
          <w:sz w:val="32"/>
          <w:szCs w:val="32"/>
          <w:lang w:val="en-US" w:eastAsia="zh-CN"/>
        </w:rPr>
        <w:t>州财建指〔2024〕0014号2024年易地扶贫搬迁安置点综合管理服务运转经费</w:t>
      </w:r>
      <w:r>
        <w:rPr>
          <w:rFonts w:hint="eastAsia" w:ascii="仿宋_GB2312" w:hAnsi="仿宋_GB2312" w:eastAsia="仿宋_GB2312" w:cs="仿宋_GB2312"/>
          <w:b w:val="0"/>
          <w:bCs w:val="0"/>
          <w:color w:val="auto"/>
          <w:sz w:val="32"/>
          <w:szCs w:val="32"/>
          <w:lang w:val="en-US" w:eastAsia="zh-CN"/>
        </w:rPr>
        <w:t>支出6.37万元，主要用于安置点电费6.37万元；</w:t>
      </w:r>
      <w:r>
        <w:rPr>
          <w:rFonts w:hint="eastAsia" w:ascii="仿宋_GB2312" w:hAnsi="仿宋_GB2312" w:eastAsia="仿宋_GB2312" w:cs="仿宋_GB2312"/>
          <w:b/>
          <w:bCs/>
          <w:color w:val="auto"/>
          <w:sz w:val="32"/>
          <w:szCs w:val="32"/>
          <w:lang w:val="en-US" w:eastAsia="zh-CN"/>
        </w:rPr>
        <w:t>州财外指〔2022〕0027号2022年国外贷款赠款专项经费</w:t>
      </w:r>
      <w:r>
        <w:rPr>
          <w:rFonts w:hint="eastAsia" w:ascii="仿宋_GB2312" w:hAnsi="仿宋_GB2312" w:eastAsia="仿宋_GB2312" w:cs="仿宋_GB2312"/>
          <w:b w:val="0"/>
          <w:bCs w:val="0"/>
          <w:color w:val="auto"/>
          <w:sz w:val="32"/>
          <w:szCs w:val="32"/>
          <w:lang w:val="en-US" w:eastAsia="zh-CN"/>
        </w:rPr>
        <w:t>支出5万元，主要用于拨付其他单位5万元；</w:t>
      </w:r>
      <w:r>
        <w:rPr>
          <w:rFonts w:hint="eastAsia" w:ascii="仿宋_GB2312" w:hAnsi="仿宋_GB2312" w:eastAsia="仿宋_GB2312" w:cs="仿宋_GB2312"/>
          <w:b/>
          <w:bCs/>
          <w:color w:val="auto"/>
          <w:sz w:val="32"/>
          <w:szCs w:val="32"/>
          <w:lang w:val="en-US" w:eastAsia="zh-CN"/>
        </w:rPr>
        <w:t>亚行贷款专项经费</w:t>
      </w:r>
      <w:r>
        <w:rPr>
          <w:rFonts w:hint="eastAsia" w:ascii="仿宋_GB2312" w:hAnsi="仿宋_GB2312" w:eastAsia="仿宋_GB2312" w:cs="仿宋_GB2312"/>
          <w:b w:val="0"/>
          <w:bCs w:val="0"/>
          <w:color w:val="auto"/>
          <w:sz w:val="32"/>
          <w:szCs w:val="32"/>
          <w:lang w:val="en-US" w:eastAsia="zh-CN"/>
        </w:rPr>
        <w:t>支出5万元，主要用于拨付其他单位5万元；</w:t>
      </w:r>
      <w:r>
        <w:rPr>
          <w:rFonts w:hint="eastAsia" w:ascii="仿宋_GB2312" w:hAnsi="仿宋_GB2312" w:eastAsia="仿宋_GB2312" w:cs="仿宋_GB2312"/>
          <w:b/>
          <w:bCs/>
          <w:color w:val="auto"/>
          <w:sz w:val="32"/>
          <w:szCs w:val="32"/>
          <w:lang w:val="en-US" w:eastAsia="zh-CN"/>
        </w:rPr>
        <w:t>2023年度优质服务奖、争资项上项资金</w:t>
      </w:r>
      <w:r>
        <w:rPr>
          <w:rFonts w:hint="eastAsia" w:ascii="仿宋_GB2312" w:hAnsi="仿宋_GB2312" w:eastAsia="仿宋_GB2312" w:cs="仿宋_GB2312"/>
          <w:b w:val="0"/>
          <w:bCs w:val="0"/>
          <w:color w:val="auto"/>
          <w:sz w:val="32"/>
          <w:szCs w:val="32"/>
          <w:lang w:val="en-US" w:eastAsia="zh-CN"/>
        </w:rPr>
        <w:t>支出13万元，主要用于奖励金13万元；</w:t>
      </w:r>
      <w:r>
        <w:rPr>
          <w:rFonts w:hint="eastAsia" w:ascii="仿宋_GB2312" w:hAnsi="仿宋_GB2312" w:eastAsia="仿宋_GB2312" w:cs="仿宋_GB2312"/>
          <w:b/>
          <w:bCs/>
          <w:color w:val="auto"/>
          <w:sz w:val="32"/>
          <w:szCs w:val="32"/>
          <w:lang w:val="en-US" w:eastAsia="zh-CN"/>
        </w:rPr>
        <w:t>四上企业奖励</w:t>
      </w:r>
      <w:r>
        <w:rPr>
          <w:rFonts w:hint="eastAsia" w:ascii="仿宋_GB2312" w:hAnsi="仿宋_GB2312" w:eastAsia="仿宋_GB2312" w:cs="仿宋_GB2312"/>
          <w:b w:val="0"/>
          <w:bCs w:val="0"/>
          <w:color w:val="auto"/>
          <w:sz w:val="32"/>
          <w:szCs w:val="32"/>
          <w:lang w:val="en-US" w:eastAsia="zh-CN"/>
        </w:rPr>
        <w:t>支出55万元，主要用于奖励金55万元；</w:t>
      </w:r>
      <w:r>
        <w:rPr>
          <w:rFonts w:hint="eastAsia" w:ascii="仿宋_GB2312" w:hAnsi="仿宋_GB2312" w:eastAsia="仿宋_GB2312" w:cs="仿宋_GB2312"/>
          <w:b/>
          <w:bCs/>
          <w:color w:val="auto"/>
          <w:sz w:val="32"/>
          <w:szCs w:val="32"/>
          <w:lang w:val="en-US" w:eastAsia="zh-CN"/>
        </w:rPr>
        <w:t>人防疏散基地项目及2023年商品粮大省奖励资金（第二批）（州财预〔2024〕14号）</w:t>
      </w:r>
      <w:r>
        <w:rPr>
          <w:rFonts w:hint="eastAsia" w:ascii="仿宋_GB2312" w:hAnsi="仿宋_GB2312" w:eastAsia="仿宋_GB2312" w:cs="仿宋_GB2312"/>
          <w:b w:val="0"/>
          <w:bCs w:val="0"/>
          <w:color w:val="auto"/>
          <w:sz w:val="32"/>
          <w:szCs w:val="32"/>
          <w:lang w:val="en-US" w:eastAsia="zh-CN"/>
        </w:rPr>
        <w:t>支出198万元，主要用于偿还借款198万元；</w:t>
      </w:r>
      <w:r>
        <w:rPr>
          <w:rFonts w:hint="eastAsia" w:ascii="仿宋_GB2312" w:hAnsi="仿宋_GB2312" w:eastAsia="仿宋_GB2312" w:cs="仿宋_GB2312"/>
          <w:b/>
          <w:bCs/>
          <w:color w:val="auto"/>
          <w:sz w:val="32"/>
          <w:szCs w:val="32"/>
          <w:lang w:val="en-US" w:eastAsia="zh-CN"/>
        </w:rPr>
        <w:t>吉首市防空方案编修和人民防空警报建设费用</w:t>
      </w:r>
      <w:r>
        <w:rPr>
          <w:rFonts w:hint="eastAsia" w:ascii="仿宋_GB2312" w:hAnsi="仿宋_GB2312" w:eastAsia="仿宋_GB2312" w:cs="仿宋_GB2312"/>
          <w:b w:val="0"/>
          <w:bCs w:val="0"/>
          <w:color w:val="auto"/>
          <w:sz w:val="32"/>
          <w:szCs w:val="32"/>
          <w:lang w:val="en-US" w:eastAsia="zh-CN"/>
        </w:rPr>
        <w:t>支出0.6万元，主要用于维修费0.6万元；</w:t>
      </w:r>
      <w:r>
        <w:rPr>
          <w:rFonts w:hint="eastAsia" w:ascii="仿宋_GB2312" w:hAnsi="仿宋_GB2312" w:eastAsia="仿宋_GB2312" w:cs="仿宋_GB2312"/>
          <w:b/>
          <w:bCs/>
          <w:color w:val="auto"/>
          <w:sz w:val="32"/>
          <w:szCs w:val="32"/>
          <w:lang w:val="en-US" w:eastAsia="zh-CN"/>
        </w:rPr>
        <w:t>粮食轮换</w:t>
      </w:r>
      <w:r>
        <w:rPr>
          <w:rFonts w:hint="eastAsia" w:ascii="仿宋_GB2312" w:hAnsi="仿宋_GB2312" w:eastAsia="仿宋_GB2312" w:cs="仿宋_GB2312"/>
          <w:b w:val="0"/>
          <w:bCs w:val="0"/>
          <w:color w:val="auto"/>
          <w:sz w:val="32"/>
          <w:szCs w:val="32"/>
          <w:lang w:val="en-US" w:eastAsia="zh-CN"/>
        </w:rPr>
        <w:t>支出1.77万元，主要用于拨付企业1.77万元；</w:t>
      </w:r>
      <w:r>
        <w:rPr>
          <w:rFonts w:hint="eastAsia" w:ascii="仿宋_GB2312" w:hAnsi="仿宋_GB2312" w:eastAsia="仿宋_GB2312" w:cs="仿宋_GB2312"/>
          <w:b/>
          <w:bCs/>
          <w:color w:val="auto"/>
          <w:sz w:val="32"/>
          <w:szCs w:val="32"/>
          <w:lang w:val="en-US" w:eastAsia="zh-CN"/>
        </w:rPr>
        <w:t>工资补发</w:t>
      </w:r>
      <w:r>
        <w:rPr>
          <w:rFonts w:hint="eastAsia" w:ascii="仿宋_GB2312" w:hAnsi="仿宋_GB2312" w:eastAsia="仿宋_GB2312" w:cs="仿宋_GB2312"/>
          <w:b w:val="0"/>
          <w:bCs w:val="0"/>
          <w:color w:val="auto"/>
          <w:sz w:val="32"/>
          <w:szCs w:val="32"/>
          <w:lang w:val="en-US" w:eastAsia="zh-CN"/>
        </w:rPr>
        <w:t>支出2.36万元，主要用于拨付企业2.36万元；</w:t>
      </w:r>
      <w:r>
        <w:rPr>
          <w:rFonts w:hint="eastAsia" w:ascii="仿宋_GB2312" w:hAnsi="仿宋_GB2312" w:eastAsia="仿宋_GB2312" w:cs="仿宋_GB2312"/>
          <w:b/>
          <w:bCs/>
          <w:color w:val="auto"/>
          <w:sz w:val="32"/>
          <w:szCs w:val="32"/>
          <w:lang w:val="en-US" w:eastAsia="zh-CN"/>
        </w:rPr>
        <w:t>退休人员养老金及在职人员”三金“资金</w:t>
      </w:r>
      <w:r>
        <w:rPr>
          <w:rFonts w:hint="eastAsia" w:ascii="仿宋_GB2312" w:hAnsi="仿宋_GB2312" w:eastAsia="仿宋_GB2312" w:cs="仿宋_GB2312"/>
          <w:b w:val="0"/>
          <w:bCs w:val="0"/>
          <w:color w:val="auto"/>
          <w:sz w:val="32"/>
          <w:szCs w:val="32"/>
          <w:lang w:val="en-US" w:eastAsia="zh-CN"/>
        </w:rPr>
        <w:t>支出118万元，主要用于拨付企业118万元；</w:t>
      </w:r>
      <w:r>
        <w:rPr>
          <w:rFonts w:hint="eastAsia" w:ascii="仿宋_GB2312" w:hAnsi="仿宋_GB2312" w:eastAsia="仿宋_GB2312" w:cs="仿宋_GB2312"/>
          <w:b/>
          <w:bCs/>
          <w:color w:val="auto"/>
          <w:sz w:val="32"/>
          <w:szCs w:val="32"/>
          <w:lang w:val="en-US" w:eastAsia="zh-CN"/>
        </w:rPr>
        <w:t>退休人员绩效</w:t>
      </w:r>
      <w:r>
        <w:rPr>
          <w:rFonts w:hint="eastAsia" w:ascii="仿宋_GB2312" w:hAnsi="仿宋_GB2312" w:eastAsia="仿宋_GB2312" w:cs="仿宋_GB2312"/>
          <w:b w:val="0"/>
          <w:bCs w:val="0"/>
          <w:color w:val="auto"/>
          <w:sz w:val="32"/>
          <w:szCs w:val="32"/>
          <w:lang w:val="en-US" w:eastAsia="zh-CN"/>
        </w:rPr>
        <w:t>支出16.39万元，主要用于发放退休人员绩效16.39万元；</w:t>
      </w:r>
      <w:r>
        <w:rPr>
          <w:rFonts w:hint="eastAsia" w:ascii="仿宋_GB2312" w:hAnsi="仿宋_GB2312" w:eastAsia="仿宋_GB2312" w:cs="仿宋_GB2312"/>
          <w:b/>
          <w:bCs/>
          <w:color w:val="auto"/>
          <w:sz w:val="32"/>
          <w:szCs w:val="32"/>
          <w:lang w:val="en-US" w:eastAsia="zh-CN"/>
        </w:rPr>
        <w:t>工作经费</w:t>
      </w:r>
      <w:r>
        <w:rPr>
          <w:rFonts w:hint="eastAsia" w:ascii="仿宋_GB2312" w:hAnsi="仿宋_GB2312" w:eastAsia="仿宋_GB2312" w:cs="仿宋_GB2312"/>
          <w:b w:val="0"/>
          <w:bCs w:val="0"/>
          <w:color w:val="auto"/>
          <w:sz w:val="32"/>
          <w:szCs w:val="32"/>
          <w:lang w:val="en-US" w:eastAsia="zh-CN"/>
        </w:rPr>
        <w:t>支出0.05万元，主要用于人员补助0.05万元；</w:t>
      </w:r>
      <w:r>
        <w:rPr>
          <w:rFonts w:hint="eastAsia" w:ascii="仿宋_GB2312" w:hAnsi="仿宋_GB2312" w:eastAsia="仿宋_GB2312" w:cs="仿宋_GB2312"/>
          <w:b/>
          <w:bCs/>
          <w:color w:val="auto"/>
          <w:sz w:val="32"/>
          <w:szCs w:val="32"/>
          <w:lang w:val="en-US" w:eastAsia="zh-CN"/>
        </w:rPr>
        <w:t>死亡抚恤金</w:t>
      </w:r>
      <w:r>
        <w:rPr>
          <w:rFonts w:hint="eastAsia" w:ascii="仿宋_GB2312" w:hAnsi="仿宋_GB2312" w:eastAsia="仿宋_GB2312" w:cs="仿宋_GB2312"/>
          <w:b w:val="0"/>
          <w:bCs w:val="0"/>
          <w:color w:val="auto"/>
          <w:sz w:val="32"/>
          <w:szCs w:val="32"/>
          <w:lang w:val="en-US" w:eastAsia="zh-CN"/>
        </w:rPr>
        <w:t>支出50.85万元，主要用于人员抚恤金50.85万元；</w:t>
      </w:r>
      <w:r>
        <w:rPr>
          <w:rFonts w:hint="eastAsia" w:ascii="仿宋_GB2312" w:hAnsi="仿宋_GB2312" w:eastAsia="仿宋_GB2312" w:cs="仿宋_GB2312"/>
          <w:b/>
          <w:bCs/>
          <w:color w:val="auto"/>
          <w:sz w:val="32"/>
          <w:szCs w:val="32"/>
          <w:lang w:val="en-US" w:eastAsia="zh-CN"/>
        </w:rPr>
        <w:t>绩效、文明单位、平安建设奖</w:t>
      </w:r>
      <w:r>
        <w:rPr>
          <w:rFonts w:hint="eastAsia" w:ascii="仿宋_GB2312" w:hAnsi="仿宋_GB2312" w:eastAsia="仿宋_GB2312" w:cs="仿宋_GB2312"/>
          <w:b w:val="0"/>
          <w:bCs w:val="0"/>
          <w:color w:val="auto"/>
          <w:sz w:val="32"/>
          <w:szCs w:val="32"/>
          <w:lang w:val="en-US" w:eastAsia="zh-CN"/>
        </w:rPr>
        <w:t>支出0.6万元，主要用于退伍安置人员绩效0.6万元；</w:t>
      </w:r>
      <w:r>
        <w:rPr>
          <w:rFonts w:hint="eastAsia" w:ascii="仿宋_GB2312" w:hAnsi="仿宋_GB2312" w:eastAsia="仿宋_GB2312" w:cs="仿宋_GB2312"/>
          <w:b/>
          <w:bCs/>
          <w:color w:val="auto"/>
          <w:sz w:val="32"/>
          <w:szCs w:val="32"/>
          <w:lang w:val="en-US" w:eastAsia="zh-CN"/>
        </w:rPr>
        <w:t>遗属生活费</w:t>
      </w:r>
      <w:r>
        <w:rPr>
          <w:rFonts w:hint="eastAsia" w:ascii="仿宋_GB2312" w:hAnsi="仿宋_GB2312" w:eastAsia="仿宋_GB2312" w:cs="仿宋_GB2312"/>
          <w:b w:val="0"/>
          <w:bCs w:val="0"/>
          <w:color w:val="auto"/>
          <w:sz w:val="32"/>
          <w:szCs w:val="32"/>
          <w:lang w:val="en-US" w:eastAsia="zh-CN"/>
        </w:rPr>
        <w:t>支出4.33万元，主要用于遗属生活补助4.33万元；</w:t>
      </w:r>
      <w:r>
        <w:rPr>
          <w:rFonts w:hint="eastAsia" w:ascii="仿宋_GB2312" w:hAnsi="仿宋_GB2312" w:eastAsia="仿宋_GB2312" w:cs="仿宋_GB2312"/>
          <w:b/>
          <w:bCs/>
          <w:color w:val="auto"/>
          <w:sz w:val="32"/>
          <w:szCs w:val="32"/>
          <w:lang w:val="en-US" w:eastAsia="zh-CN"/>
        </w:rPr>
        <w:t>2021-2023年湖南省电动汽车充电基础设施建设奖补资金（第二批）</w:t>
      </w:r>
      <w:r>
        <w:rPr>
          <w:rFonts w:hint="eastAsia" w:ascii="仿宋_GB2312" w:hAnsi="仿宋_GB2312" w:eastAsia="仿宋_GB2312" w:cs="仿宋_GB2312"/>
          <w:b w:val="0"/>
          <w:bCs w:val="0"/>
          <w:color w:val="auto"/>
          <w:sz w:val="32"/>
          <w:szCs w:val="32"/>
          <w:lang w:val="en-US" w:eastAsia="zh-CN"/>
        </w:rPr>
        <w:t>支出202.13万元，主要用于拨付企业202.13万元；</w:t>
      </w:r>
      <w:r>
        <w:rPr>
          <w:rFonts w:hint="eastAsia" w:ascii="仿宋_GB2312" w:hAnsi="仿宋_GB2312" w:eastAsia="仿宋_GB2312" w:cs="仿宋_GB2312"/>
          <w:b/>
          <w:bCs/>
          <w:color w:val="auto"/>
          <w:sz w:val="32"/>
          <w:szCs w:val="32"/>
          <w:lang w:val="en-US" w:eastAsia="zh-CN"/>
        </w:rPr>
        <w:t>吉首市2022-2024年备案新建社会公共快速充电设施建设奖补资金</w:t>
      </w:r>
      <w:r>
        <w:rPr>
          <w:rFonts w:hint="eastAsia" w:ascii="仿宋_GB2312" w:hAnsi="仿宋_GB2312" w:eastAsia="仿宋_GB2312" w:cs="仿宋_GB2312"/>
          <w:b w:val="0"/>
          <w:bCs w:val="0"/>
          <w:color w:val="auto"/>
          <w:sz w:val="32"/>
          <w:szCs w:val="32"/>
          <w:lang w:val="en-US" w:eastAsia="zh-CN"/>
        </w:rPr>
        <w:t>支出177.98万元，主要用于拨付企业177.98万元；</w:t>
      </w:r>
      <w:r>
        <w:rPr>
          <w:rFonts w:hint="eastAsia" w:ascii="仿宋_GB2312" w:hAnsi="仿宋_GB2312" w:eastAsia="仿宋_GB2312" w:cs="仿宋_GB2312"/>
          <w:b/>
          <w:bCs/>
          <w:color w:val="auto"/>
          <w:sz w:val="32"/>
          <w:szCs w:val="32"/>
          <w:lang w:val="en-US" w:eastAsia="zh-CN"/>
        </w:rPr>
        <w:t>市发改局项目前期工作经费和重大项目集中开工经费</w:t>
      </w:r>
      <w:r>
        <w:rPr>
          <w:rFonts w:hint="eastAsia" w:ascii="仿宋_GB2312" w:hAnsi="仿宋_GB2312" w:eastAsia="仿宋_GB2312" w:cs="仿宋_GB2312"/>
          <w:b w:val="0"/>
          <w:bCs w:val="0"/>
          <w:color w:val="auto"/>
          <w:sz w:val="32"/>
          <w:szCs w:val="32"/>
          <w:lang w:val="en-US" w:eastAsia="zh-CN"/>
        </w:rPr>
        <w:t>支出344.06万元，主要用于办公5.39万元、差旅1.36万元、福利费17.7万元、劳务0.3万元、培训费0.35万元、其他交通0.02万元、其他商品1.52万元、物业5万元、印刷13.62万元、邮电3.86万元、咨询及委托业务费293.39万元、租赁1.55万元；</w:t>
      </w:r>
      <w:r>
        <w:rPr>
          <w:rFonts w:hint="eastAsia" w:ascii="仿宋_GB2312" w:hAnsi="仿宋_GB2312" w:eastAsia="仿宋_GB2312" w:cs="仿宋_GB2312"/>
          <w:b/>
          <w:bCs/>
          <w:color w:val="auto"/>
          <w:sz w:val="32"/>
          <w:szCs w:val="32"/>
          <w:lang w:val="en-US" w:eastAsia="zh-CN"/>
        </w:rPr>
        <w:t>2023年省现代服务业发展专项资金</w:t>
      </w:r>
      <w:r>
        <w:rPr>
          <w:rFonts w:hint="eastAsia" w:ascii="仿宋_GB2312" w:hAnsi="仿宋_GB2312" w:eastAsia="仿宋_GB2312" w:cs="仿宋_GB2312"/>
          <w:b w:val="0"/>
          <w:bCs w:val="0"/>
          <w:color w:val="auto"/>
          <w:sz w:val="32"/>
          <w:szCs w:val="32"/>
          <w:lang w:val="en-US" w:eastAsia="zh-CN"/>
        </w:rPr>
        <w:t>支出112万元，主要用于拨付企业112万元；</w:t>
      </w:r>
      <w:r>
        <w:rPr>
          <w:rFonts w:hint="eastAsia" w:ascii="仿宋_GB2312" w:hAnsi="仿宋_GB2312" w:eastAsia="仿宋_GB2312" w:cs="仿宋_GB2312"/>
          <w:b/>
          <w:bCs/>
          <w:color w:val="auto"/>
          <w:sz w:val="32"/>
          <w:szCs w:val="32"/>
          <w:lang w:val="en-US" w:eastAsia="zh-CN"/>
        </w:rPr>
        <w:t>州财外指〔2024〕0014号2024年第一批专项补助经费</w:t>
      </w:r>
      <w:r>
        <w:rPr>
          <w:rFonts w:hint="eastAsia" w:ascii="仿宋_GB2312" w:hAnsi="仿宋_GB2312" w:eastAsia="仿宋_GB2312" w:cs="仿宋_GB2312"/>
          <w:b w:val="0"/>
          <w:bCs w:val="0"/>
          <w:color w:val="auto"/>
          <w:sz w:val="32"/>
          <w:szCs w:val="32"/>
          <w:lang w:val="en-US" w:eastAsia="zh-CN"/>
        </w:rPr>
        <w:t>支出20万元，主要用于拨付企业20万元；</w:t>
      </w:r>
      <w:r>
        <w:rPr>
          <w:rFonts w:hint="eastAsia" w:ascii="仿宋_GB2312" w:hAnsi="仿宋_GB2312" w:eastAsia="仿宋_GB2312" w:cs="仿宋_GB2312"/>
          <w:b/>
          <w:bCs/>
          <w:color w:val="auto"/>
          <w:sz w:val="32"/>
          <w:szCs w:val="32"/>
          <w:lang w:val="en-US" w:eastAsia="zh-CN"/>
        </w:rPr>
        <w:t>州财建字（2024）0019号2024年军粮供应费用补助资金</w:t>
      </w:r>
      <w:r>
        <w:rPr>
          <w:rFonts w:hint="eastAsia" w:ascii="仿宋_GB2312" w:hAnsi="仿宋_GB2312" w:eastAsia="仿宋_GB2312" w:cs="仿宋_GB2312"/>
          <w:b w:val="0"/>
          <w:bCs w:val="0"/>
          <w:color w:val="auto"/>
          <w:sz w:val="32"/>
          <w:szCs w:val="32"/>
          <w:lang w:val="en-US" w:eastAsia="zh-CN"/>
        </w:rPr>
        <w:t>支出1.7万元，主要用于拨付企业1.7万元；</w:t>
      </w:r>
      <w:r>
        <w:rPr>
          <w:rFonts w:hint="eastAsia" w:ascii="仿宋_GB2312" w:hAnsi="仿宋_GB2312" w:eastAsia="仿宋_GB2312" w:cs="仿宋_GB2312"/>
          <w:b/>
          <w:bCs/>
          <w:color w:val="auto"/>
          <w:sz w:val="32"/>
          <w:szCs w:val="32"/>
          <w:lang w:val="en-US" w:eastAsia="zh-CN"/>
        </w:rPr>
        <w:t>州财建字〔2024〕0059号军粮供应周转金</w:t>
      </w:r>
      <w:r>
        <w:rPr>
          <w:rFonts w:hint="eastAsia" w:ascii="仿宋_GB2312" w:hAnsi="仿宋_GB2312" w:eastAsia="仿宋_GB2312" w:cs="仿宋_GB2312"/>
          <w:b w:val="0"/>
          <w:bCs w:val="0"/>
          <w:color w:val="auto"/>
          <w:sz w:val="32"/>
          <w:szCs w:val="32"/>
          <w:lang w:val="en-US" w:eastAsia="zh-CN"/>
        </w:rPr>
        <w:t>支出20万元，主要用于拨付企业20万元；</w:t>
      </w:r>
      <w:r>
        <w:rPr>
          <w:rFonts w:hint="eastAsia" w:ascii="仿宋_GB2312" w:hAnsi="仿宋_GB2312" w:eastAsia="仿宋_GB2312" w:cs="仿宋_GB2312"/>
          <w:b/>
          <w:bCs/>
          <w:color w:val="auto"/>
          <w:sz w:val="32"/>
          <w:szCs w:val="32"/>
          <w:lang w:val="en-US" w:eastAsia="zh-CN"/>
        </w:rPr>
        <w:t>州财建字〔2022〕0070号下达2021年州级重点项目专项投资资金（秀吉益指挥部工作经费）</w:t>
      </w:r>
      <w:r>
        <w:rPr>
          <w:rFonts w:hint="eastAsia" w:ascii="仿宋_GB2312" w:hAnsi="仿宋_GB2312" w:eastAsia="仿宋_GB2312" w:cs="仿宋_GB2312"/>
          <w:b w:val="0"/>
          <w:bCs w:val="0"/>
          <w:color w:val="auto"/>
          <w:sz w:val="32"/>
          <w:szCs w:val="32"/>
          <w:lang w:val="en-US" w:eastAsia="zh-CN"/>
        </w:rPr>
        <w:t>支出20万元，主要用于拨付企业20万元；</w:t>
      </w:r>
      <w:r>
        <w:rPr>
          <w:rFonts w:hint="eastAsia" w:ascii="仿宋_GB2312" w:hAnsi="仿宋_GB2312" w:eastAsia="仿宋_GB2312" w:cs="仿宋_GB2312"/>
          <w:b/>
          <w:bCs/>
          <w:color w:val="auto"/>
          <w:sz w:val="32"/>
          <w:szCs w:val="32"/>
          <w:lang w:val="en-US" w:eastAsia="zh-CN"/>
        </w:rPr>
        <w:t>州财建指〔2023〕0060号湘西自治州财政局关于下达2023年重点项目前期费专项资金</w:t>
      </w:r>
      <w:r>
        <w:rPr>
          <w:rFonts w:hint="eastAsia" w:ascii="仿宋_GB2312" w:hAnsi="仿宋_GB2312" w:eastAsia="仿宋_GB2312" w:cs="仿宋_GB2312"/>
          <w:b w:val="0"/>
          <w:bCs w:val="0"/>
          <w:color w:val="auto"/>
          <w:sz w:val="32"/>
          <w:szCs w:val="32"/>
          <w:lang w:val="en-US" w:eastAsia="zh-CN"/>
        </w:rPr>
        <w:t>支出160万元，主要用于咨询费160万元；</w:t>
      </w:r>
      <w:r>
        <w:rPr>
          <w:rFonts w:hint="eastAsia" w:ascii="仿宋_GB2312" w:hAnsi="仿宋_GB2312" w:eastAsia="仿宋_GB2312" w:cs="仿宋_GB2312"/>
          <w:b/>
          <w:bCs/>
          <w:color w:val="auto"/>
          <w:sz w:val="32"/>
          <w:szCs w:val="32"/>
          <w:lang w:val="en-US" w:eastAsia="zh-CN"/>
        </w:rPr>
        <w:t>吉首市规划编制工作经费（报告）(2021年结转）</w:t>
      </w:r>
      <w:r>
        <w:rPr>
          <w:rFonts w:hint="eastAsia" w:ascii="仿宋_GB2312" w:hAnsi="仿宋_GB2312" w:eastAsia="仿宋_GB2312" w:cs="仿宋_GB2312"/>
          <w:b w:val="0"/>
          <w:bCs w:val="0"/>
          <w:color w:val="auto"/>
          <w:sz w:val="32"/>
          <w:szCs w:val="32"/>
          <w:lang w:val="en-US" w:eastAsia="zh-CN"/>
        </w:rPr>
        <w:t>支出5.12万元，主要用于咨询费5.12万元；</w:t>
      </w:r>
      <w:r>
        <w:rPr>
          <w:rFonts w:hint="eastAsia" w:ascii="仿宋_GB2312" w:hAnsi="仿宋_GB2312" w:eastAsia="仿宋_GB2312" w:cs="仿宋_GB2312"/>
          <w:b/>
          <w:bCs/>
          <w:color w:val="auto"/>
          <w:sz w:val="32"/>
          <w:szCs w:val="32"/>
          <w:lang w:val="en-US" w:eastAsia="zh-CN"/>
        </w:rPr>
        <w:t>2021年州重点项目建设责任目标考核奖励资金</w:t>
      </w:r>
      <w:r>
        <w:rPr>
          <w:rFonts w:hint="eastAsia" w:ascii="仿宋_GB2312" w:hAnsi="仿宋_GB2312" w:eastAsia="仿宋_GB2312" w:cs="仿宋_GB2312"/>
          <w:b w:val="0"/>
          <w:bCs w:val="0"/>
          <w:color w:val="auto"/>
          <w:sz w:val="32"/>
          <w:szCs w:val="32"/>
          <w:lang w:val="en-US" w:eastAsia="zh-CN"/>
        </w:rPr>
        <w:t>支出20万元，主要用于下拨其他单位20万元；</w:t>
      </w:r>
      <w:r>
        <w:rPr>
          <w:rFonts w:hint="eastAsia" w:ascii="仿宋_GB2312" w:hAnsi="仿宋_GB2312" w:eastAsia="仿宋_GB2312" w:cs="仿宋_GB2312"/>
          <w:b/>
          <w:bCs/>
          <w:color w:val="auto"/>
          <w:sz w:val="32"/>
          <w:szCs w:val="32"/>
          <w:lang w:val="en-US" w:eastAsia="zh-CN"/>
        </w:rPr>
        <w:t>2021年州级重点项目专项投资资金（重点项目谋划、申报、协调、推进）</w:t>
      </w:r>
      <w:r>
        <w:rPr>
          <w:rFonts w:hint="eastAsia" w:ascii="仿宋_GB2312" w:hAnsi="仿宋_GB2312" w:eastAsia="仿宋_GB2312" w:cs="仿宋_GB2312"/>
          <w:b w:val="0"/>
          <w:bCs w:val="0"/>
          <w:color w:val="auto"/>
          <w:sz w:val="32"/>
          <w:szCs w:val="32"/>
          <w:lang w:val="en-US" w:eastAsia="zh-CN"/>
        </w:rPr>
        <w:t>支出0.85万元，主要用于咨询费0.8万元、办公0.05万元；</w:t>
      </w:r>
      <w:r>
        <w:rPr>
          <w:rFonts w:hint="eastAsia" w:ascii="仿宋_GB2312" w:hAnsi="仿宋_GB2312" w:eastAsia="仿宋_GB2312" w:cs="仿宋_GB2312"/>
          <w:b/>
          <w:bCs/>
          <w:color w:val="auto"/>
          <w:sz w:val="32"/>
          <w:szCs w:val="32"/>
          <w:lang w:val="en-US" w:eastAsia="zh-CN"/>
        </w:rPr>
        <w:t>2021年真抓实干争取上级督查激励工作（固定资产投资）奖金</w:t>
      </w:r>
      <w:r>
        <w:rPr>
          <w:rFonts w:hint="eastAsia" w:ascii="仿宋_GB2312" w:hAnsi="仿宋_GB2312" w:eastAsia="仿宋_GB2312" w:cs="仿宋_GB2312"/>
          <w:b w:val="0"/>
          <w:bCs w:val="0"/>
          <w:color w:val="auto"/>
          <w:sz w:val="32"/>
          <w:szCs w:val="32"/>
          <w:lang w:val="en-US" w:eastAsia="zh-CN"/>
        </w:rPr>
        <w:t>支出4.8万元，主要用于下拨其他单位4.8万元；</w:t>
      </w:r>
      <w:r>
        <w:rPr>
          <w:rFonts w:hint="eastAsia" w:ascii="仿宋_GB2312" w:hAnsi="仿宋_GB2312" w:eastAsia="仿宋_GB2312" w:cs="仿宋_GB2312"/>
          <w:b/>
          <w:bCs/>
          <w:color w:val="auto"/>
          <w:sz w:val="32"/>
          <w:szCs w:val="32"/>
          <w:lang w:val="en-US" w:eastAsia="zh-CN"/>
        </w:rPr>
        <w:t>粮食挂账利息</w:t>
      </w:r>
      <w:r>
        <w:rPr>
          <w:rFonts w:hint="eastAsia" w:ascii="仿宋_GB2312" w:hAnsi="仿宋_GB2312" w:eastAsia="仿宋_GB2312" w:cs="仿宋_GB2312"/>
          <w:b w:val="0"/>
          <w:bCs w:val="0"/>
          <w:color w:val="auto"/>
          <w:sz w:val="32"/>
          <w:szCs w:val="32"/>
          <w:lang w:val="en-US" w:eastAsia="zh-CN"/>
        </w:rPr>
        <w:t>支出52.57万元，主要用于支付利息52.57万元；</w:t>
      </w:r>
      <w:r>
        <w:rPr>
          <w:rFonts w:hint="eastAsia" w:ascii="仿宋_GB2312" w:hAnsi="仿宋_GB2312" w:eastAsia="仿宋_GB2312" w:cs="仿宋_GB2312"/>
          <w:b/>
          <w:bCs/>
          <w:color w:val="auto"/>
          <w:sz w:val="32"/>
          <w:szCs w:val="32"/>
          <w:lang w:val="en-US" w:eastAsia="zh-CN"/>
        </w:rPr>
        <w:t>党费</w:t>
      </w:r>
      <w:r>
        <w:rPr>
          <w:rFonts w:hint="eastAsia" w:ascii="仿宋_GB2312" w:hAnsi="仿宋_GB2312" w:eastAsia="仿宋_GB2312" w:cs="仿宋_GB2312"/>
          <w:b w:val="0"/>
          <w:bCs w:val="0"/>
          <w:color w:val="auto"/>
          <w:sz w:val="32"/>
          <w:szCs w:val="32"/>
          <w:lang w:val="en-US" w:eastAsia="zh-CN"/>
        </w:rPr>
        <w:t>支出0.06万元，主要用于办公0.01万元、培训0.03万元、其他商品0.02万元。</w:t>
      </w:r>
    </w:p>
    <w:p>
      <w:pPr>
        <w:pStyle w:val="12"/>
        <w:keepNext w:val="0"/>
        <w:keepLines w:val="0"/>
        <w:pageBreakBefore w:val="0"/>
        <w:numPr>
          <w:ilvl w:val="0"/>
          <w:numId w:val="2"/>
        </w:numPr>
        <w:kinsoku/>
        <w:wordWrap/>
        <w:overflowPunct/>
        <w:topLinePunct w:val="0"/>
        <w:autoSpaceDE/>
        <w:autoSpaceDN/>
        <w:bidi w:val="0"/>
        <w:spacing w:line="500" w:lineRule="exact"/>
        <w:ind w:firstLine="640"/>
        <w:rPr>
          <w:rFonts w:ascii="Times New Roman" w:hAnsi="Times New Roman" w:eastAsia="黑体"/>
          <w:sz w:val="32"/>
          <w:szCs w:val="32"/>
        </w:rPr>
      </w:pPr>
      <w:r>
        <w:rPr>
          <w:rFonts w:ascii="Times New Roman" w:hAnsi="Times New Roman" w:eastAsia="黑体"/>
          <w:sz w:val="32"/>
          <w:szCs w:val="32"/>
        </w:rPr>
        <w:t>政府性基金预算支出情况</w:t>
      </w:r>
    </w:p>
    <w:p>
      <w:pPr>
        <w:pStyle w:val="12"/>
        <w:keepNext w:val="0"/>
        <w:keepLines w:val="0"/>
        <w:pageBreakBefore w:val="0"/>
        <w:numPr>
          <w:ilvl w:val="0"/>
          <w:numId w:val="0"/>
        </w:numPr>
        <w:kinsoku/>
        <w:wordWrap/>
        <w:overflowPunct/>
        <w:topLinePunct w:val="0"/>
        <w:autoSpaceDE/>
        <w:autoSpaceDN/>
        <w:bidi w:val="0"/>
        <w:spacing w:line="500" w:lineRule="exact"/>
        <w:rPr>
          <w:rFonts w:hint="default" w:ascii="Times New Roman" w:hAnsi="Times New Roman" w:eastAsia="黑体"/>
          <w:sz w:val="32"/>
          <w:szCs w:val="32"/>
          <w:lang w:val="en-US" w:eastAsia="zh-CN"/>
        </w:rPr>
      </w:pPr>
      <w:r>
        <w:rPr>
          <w:rFonts w:hint="eastAsia" w:ascii="Times New Roman" w:hAnsi="Times New Roman" w:eastAsia="黑体"/>
          <w:sz w:val="32"/>
          <w:szCs w:val="32"/>
          <w:lang w:val="en-US" w:eastAsia="zh-CN"/>
        </w:rPr>
        <w:t xml:space="preserve">    无</w:t>
      </w:r>
    </w:p>
    <w:p>
      <w:pPr>
        <w:pStyle w:val="12"/>
        <w:keepNext w:val="0"/>
        <w:keepLines w:val="0"/>
        <w:pageBreakBefore w:val="0"/>
        <w:numPr>
          <w:ilvl w:val="0"/>
          <w:numId w:val="2"/>
        </w:numPr>
        <w:kinsoku/>
        <w:wordWrap/>
        <w:overflowPunct/>
        <w:topLinePunct w:val="0"/>
        <w:autoSpaceDE/>
        <w:autoSpaceDN/>
        <w:bidi w:val="0"/>
        <w:spacing w:line="500" w:lineRule="exact"/>
        <w:ind w:left="0" w:leftChars="0" w:firstLine="640" w:firstLineChars="200"/>
        <w:rPr>
          <w:rFonts w:ascii="Times New Roman" w:hAnsi="Times New Roman" w:eastAsia="黑体"/>
          <w:sz w:val="32"/>
          <w:szCs w:val="32"/>
        </w:rPr>
      </w:pPr>
      <w:r>
        <w:rPr>
          <w:rFonts w:ascii="Times New Roman" w:hAnsi="Times New Roman" w:eastAsia="黑体"/>
          <w:sz w:val="32"/>
          <w:szCs w:val="32"/>
        </w:rPr>
        <w:t>国有资本经营预算支出情况</w:t>
      </w:r>
    </w:p>
    <w:p>
      <w:pPr>
        <w:pStyle w:val="12"/>
        <w:keepNext w:val="0"/>
        <w:keepLines w:val="0"/>
        <w:pageBreakBefore w:val="0"/>
        <w:numPr>
          <w:ilvl w:val="0"/>
          <w:numId w:val="0"/>
        </w:numPr>
        <w:kinsoku/>
        <w:wordWrap/>
        <w:overflowPunct/>
        <w:topLinePunct w:val="0"/>
        <w:autoSpaceDE/>
        <w:autoSpaceDN/>
        <w:bidi w:val="0"/>
        <w:spacing w:line="500" w:lineRule="exact"/>
        <w:rPr>
          <w:rFonts w:hint="default" w:ascii="Times New Roman" w:hAnsi="Times New Roman" w:eastAsia="黑体"/>
          <w:sz w:val="32"/>
          <w:szCs w:val="32"/>
          <w:lang w:val="en-US" w:eastAsia="zh-CN"/>
        </w:rPr>
      </w:pPr>
      <w:r>
        <w:rPr>
          <w:rFonts w:hint="eastAsia" w:ascii="Times New Roman" w:hAnsi="Times New Roman" w:eastAsia="黑体"/>
          <w:sz w:val="32"/>
          <w:szCs w:val="32"/>
          <w:lang w:val="en-US" w:eastAsia="zh-CN"/>
        </w:rPr>
        <w:t xml:space="preserve">    无</w:t>
      </w:r>
    </w:p>
    <w:p>
      <w:pPr>
        <w:pStyle w:val="12"/>
        <w:keepNext w:val="0"/>
        <w:keepLines w:val="0"/>
        <w:pageBreakBefore w:val="0"/>
        <w:numPr>
          <w:ilvl w:val="0"/>
          <w:numId w:val="2"/>
        </w:numPr>
        <w:kinsoku/>
        <w:wordWrap/>
        <w:overflowPunct/>
        <w:topLinePunct w:val="0"/>
        <w:autoSpaceDE/>
        <w:autoSpaceDN/>
        <w:bidi w:val="0"/>
        <w:spacing w:line="500" w:lineRule="exact"/>
        <w:ind w:left="0" w:leftChars="0" w:firstLine="640" w:firstLineChars="200"/>
        <w:rPr>
          <w:rFonts w:ascii="Times New Roman" w:hAnsi="Times New Roman" w:eastAsia="黑体"/>
          <w:sz w:val="32"/>
          <w:szCs w:val="32"/>
        </w:rPr>
      </w:pPr>
      <w:r>
        <w:rPr>
          <w:rFonts w:ascii="Times New Roman" w:hAnsi="Times New Roman" w:eastAsia="黑体"/>
          <w:sz w:val="32"/>
          <w:szCs w:val="32"/>
        </w:rPr>
        <w:t>社会保险基金预算支出情况</w:t>
      </w:r>
    </w:p>
    <w:p>
      <w:pPr>
        <w:pStyle w:val="12"/>
        <w:keepNext w:val="0"/>
        <w:keepLines w:val="0"/>
        <w:pageBreakBefore w:val="0"/>
        <w:numPr>
          <w:ilvl w:val="0"/>
          <w:numId w:val="0"/>
        </w:numPr>
        <w:kinsoku/>
        <w:wordWrap/>
        <w:overflowPunct/>
        <w:topLinePunct w:val="0"/>
        <w:autoSpaceDE/>
        <w:autoSpaceDN/>
        <w:bidi w:val="0"/>
        <w:spacing w:line="500" w:lineRule="exact"/>
        <w:rPr>
          <w:rFonts w:hint="default" w:ascii="Times New Roman" w:hAnsi="Times New Roman" w:eastAsia="黑体"/>
          <w:sz w:val="32"/>
          <w:szCs w:val="32"/>
          <w:lang w:val="en-US" w:eastAsia="zh-CN"/>
        </w:rPr>
      </w:pPr>
      <w:r>
        <w:rPr>
          <w:rFonts w:hint="eastAsia" w:ascii="Times New Roman" w:hAnsi="Times New Roman" w:eastAsia="黑体"/>
          <w:sz w:val="32"/>
          <w:szCs w:val="32"/>
          <w:lang w:val="en-US" w:eastAsia="zh-CN"/>
        </w:rPr>
        <w:t xml:space="preserve">    无</w:t>
      </w:r>
    </w:p>
    <w:p>
      <w:pPr>
        <w:keepNext w:val="0"/>
        <w:keepLines w:val="0"/>
        <w:pageBreakBefore w:val="0"/>
        <w:numPr>
          <w:ilvl w:val="0"/>
          <w:numId w:val="2"/>
        </w:numPr>
        <w:kinsoku/>
        <w:wordWrap/>
        <w:overflowPunct/>
        <w:topLinePunct w:val="0"/>
        <w:autoSpaceDE/>
        <w:autoSpaceDN/>
        <w:bidi w:val="0"/>
        <w:spacing w:line="500" w:lineRule="exact"/>
        <w:ind w:left="0" w:leftChars="0" w:firstLine="640" w:firstLineChars="200"/>
        <w:rPr>
          <w:rFonts w:eastAsia="黑体"/>
          <w:sz w:val="32"/>
          <w:szCs w:val="32"/>
        </w:rPr>
      </w:pPr>
      <w:r>
        <w:rPr>
          <w:rFonts w:eastAsia="黑体"/>
          <w:sz w:val="32"/>
          <w:szCs w:val="32"/>
        </w:rPr>
        <w:t>部门整体支出绩效情况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（一）坚持高质量发展，落实好各项重点工作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643" w:firstLineChars="200"/>
        <w:jc w:val="both"/>
        <w:textAlignment w:val="auto"/>
        <w:rPr>
          <w:rFonts w:hint="eastAsia" w:ascii="仿宋_GB2312" w:hAnsi="仿宋_GB2312" w:eastAsia="仿宋_GB2312" w:cs="仿宋_GB2312"/>
          <w:b w:val="0"/>
          <w:bCs w:val="0"/>
          <w:i w:val="0"/>
          <w:iCs w:val="0"/>
          <w:kern w:val="2"/>
          <w:sz w:val="32"/>
          <w:szCs w:val="32"/>
          <w:lang w:val="en-US" w:eastAsia="zh-CN" w:bidi="ar"/>
        </w:rPr>
      </w:pPr>
      <w:r>
        <w:rPr>
          <w:rFonts w:hint="eastAsia" w:ascii="仿宋_GB2312" w:hAnsi="仿宋_GB2312" w:eastAsia="仿宋_GB2312" w:cs="仿宋_GB2312"/>
          <w:b/>
          <w:bCs/>
          <w:i w:val="0"/>
          <w:iCs w:val="0"/>
          <w:kern w:val="2"/>
          <w:sz w:val="32"/>
          <w:szCs w:val="32"/>
          <w:lang w:val="en-US" w:eastAsia="zh-CN" w:bidi="ar"/>
        </w:rPr>
        <w:t>一是抓好主要经济指标监测分析。</w:t>
      </w:r>
      <w:r>
        <w:rPr>
          <w:rFonts w:hint="eastAsia" w:ascii="仿宋_GB2312" w:hAnsi="仿宋_GB2312" w:eastAsia="仿宋_GB2312" w:cs="仿宋_GB2312"/>
          <w:b w:val="0"/>
          <w:bCs w:val="0"/>
          <w:i w:val="0"/>
          <w:iCs w:val="0"/>
          <w:kern w:val="2"/>
          <w:sz w:val="32"/>
          <w:szCs w:val="32"/>
          <w:lang w:val="en-US" w:eastAsia="zh-CN" w:bidi="ar"/>
        </w:rPr>
        <w:t>建立经济运行监测机制，按照月调度、季分析，加强对重点经济指标数据分析监测。据数据显示，预计2024年，全市地区生产总值增长2%左右，市属规模工业增加值增长3.1%，市属固定资产投资增长2.2%（不含酒鬼），社会消费品零售总额增长1.9%左右，地方一般公共预算收入增长6.5%，城乡居民人均可支配收入分别增长5%、6.5%。从预计完成情况看，2024年全市经济克服了较多困难挑战，顶住了较大下行压力，呈现前高、中回落、后稳的态势，总体运行稳中向好，主要经济指标均有增长；特别是市属规模工业增加值、市属固定资产投资增速回正，较上一年度大幅提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643" w:firstLineChars="200"/>
        <w:jc w:val="both"/>
        <w:textAlignment w:val="auto"/>
        <w:rPr>
          <w:rFonts w:hint="eastAsia" w:ascii="仿宋_GB2312" w:hAnsi="仿宋_GB2312" w:eastAsia="仿宋_GB2312" w:cs="仿宋_GB2312"/>
          <w:b w:val="0"/>
          <w:bCs w:val="0"/>
          <w:i w:val="0"/>
          <w:iCs w:val="0"/>
          <w:kern w:val="2"/>
          <w:sz w:val="32"/>
          <w:szCs w:val="32"/>
          <w:lang w:val="en-US" w:eastAsia="zh-CN" w:bidi="ar"/>
        </w:rPr>
      </w:pPr>
      <w:r>
        <w:rPr>
          <w:rFonts w:hint="eastAsia" w:ascii="仿宋_GB2312" w:hAnsi="仿宋_GB2312" w:eastAsia="仿宋_GB2312" w:cs="仿宋_GB2312"/>
          <w:b/>
          <w:bCs/>
          <w:i w:val="0"/>
          <w:iCs w:val="0"/>
          <w:kern w:val="2"/>
          <w:sz w:val="32"/>
          <w:szCs w:val="32"/>
          <w:lang w:val="en-US" w:eastAsia="zh-CN" w:bidi="ar"/>
        </w:rPr>
        <w:t>二是抓实保供稳价民生实事。</w:t>
      </w:r>
      <w:r>
        <w:rPr>
          <w:rFonts w:hint="eastAsia" w:ascii="仿宋_GB2312" w:hAnsi="仿宋_GB2312" w:eastAsia="仿宋_GB2312" w:cs="仿宋_GB2312"/>
          <w:b w:val="0"/>
          <w:bCs w:val="0"/>
          <w:i w:val="0"/>
          <w:iCs w:val="0"/>
          <w:kern w:val="2"/>
          <w:sz w:val="32"/>
          <w:szCs w:val="32"/>
          <w:lang w:val="en-US" w:eastAsia="zh-CN" w:bidi="ar"/>
        </w:rPr>
        <w:t>进一步统筹抓好煤电油气和其他重要商品保供稳价，继续努力推动地方经济合理增长、稳定物价水平。</w:t>
      </w:r>
      <w:r>
        <w:rPr>
          <w:rFonts w:hint="eastAsia" w:ascii="仿宋_GB2312" w:hAnsi="仿宋_GB2312" w:eastAsia="仿宋_GB2312" w:cs="仿宋_GB2312"/>
          <w:b/>
          <w:bCs/>
          <w:i w:val="0"/>
          <w:iCs w:val="0"/>
          <w:kern w:val="2"/>
          <w:sz w:val="32"/>
          <w:szCs w:val="32"/>
          <w:lang w:val="en-US" w:eastAsia="zh-CN" w:bidi="ar"/>
        </w:rPr>
        <w:t>粮食市场秩序稳定。</w:t>
      </w:r>
      <w:r>
        <w:rPr>
          <w:rFonts w:hint="eastAsia" w:ascii="仿宋_GB2312" w:hAnsi="仿宋_GB2312" w:eastAsia="仿宋_GB2312" w:cs="仿宋_GB2312"/>
          <w:b w:val="0"/>
          <w:bCs w:val="0"/>
          <w:i w:val="0"/>
          <w:iCs w:val="0"/>
          <w:kern w:val="2"/>
          <w:sz w:val="32"/>
          <w:szCs w:val="32"/>
          <w:lang w:val="en-US" w:eastAsia="zh-CN" w:bidi="ar"/>
        </w:rPr>
        <w:t>认真落实好国家粮食收购政策，积极行使好粮食行政主管部门职能作用，组织和指导、督促国有粮食企业发挥好储备作用，积极开展秋粮收购入库前的各项准备工作，坚决执行最低粮食收购价政策，坚持以质论价，不压级压价，损害农民利益。</w:t>
      </w:r>
      <w:r>
        <w:rPr>
          <w:rFonts w:hint="eastAsia" w:ascii="仿宋_GB2312" w:hAnsi="仿宋_GB2312" w:eastAsia="仿宋_GB2312" w:cs="仿宋_GB2312"/>
          <w:b/>
          <w:bCs/>
          <w:i w:val="0"/>
          <w:iCs w:val="0"/>
          <w:color w:val="auto"/>
          <w:kern w:val="2"/>
          <w:sz w:val="32"/>
          <w:szCs w:val="32"/>
          <w:lang w:val="en-US" w:eastAsia="zh-CN" w:bidi="ar"/>
        </w:rPr>
        <w:t>能源电力保障有力</w:t>
      </w:r>
      <w:r>
        <w:rPr>
          <w:rFonts w:hint="eastAsia" w:ascii="仿宋_GB2312" w:hAnsi="仿宋_GB2312" w:eastAsia="仿宋_GB2312" w:cs="仿宋_GB2312"/>
          <w:b w:val="0"/>
          <w:bCs w:val="0"/>
          <w:i w:val="0"/>
          <w:iCs w:val="0"/>
          <w:color w:val="auto"/>
          <w:kern w:val="2"/>
          <w:sz w:val="32"/>
          <w:szCs w:val="32"/>
          <w:lang w:val="en-US" w:eastAsia="zh-CN" w:bidi="ar"/>
        </w:rPr>
        <w:t>。全年电网建设项目132个，总投资2.55亿元，年度投资1.52亿元，重点项目均明确相关责任单位配合推进，吉首市屋顶分布式光伏发电项目建设规模已完成8.988MW，累计完成投资3000万；迎峰度夏度冬能源运行总体稳定。</w:t>
      </w:r>
      <w:r>
        <w:rPr>
          <w:rFonts w:hint="eastAsia" w:ascii="仿宋_GB2312" w:hAnsi="仿宋_GB2312" w:eastAsia="仿宋_GB2312" w:cs="仿宋_GB2312"/>
          <w:b/>
          <w:bCs/>
          <w:i w:val="0"/>
          <w:iCs w:val="0"/>
          <w:kern w:val="2"/>
          <w:sz w:val="32"/>
          <w:szCs w:val="32"/>
          <w:lang w:val="en-US" w:eastAsia="zh-CN" w:bidi="ar"/>
        </w:rPr>
        <w:t>严抓重要价格审批。</w:t>
      </w:r>
      <w:r>
        <w:rPr>
          <w:rFonts w:hint="eastAsia" w:ascii="仿宋_GB2312" w:hAnsi="仿宋_GB2312" w:eastAsia="仿宋_GB2312" w:cs="仿宋_GB2312"/>
          <w:b w:val="0"/>
          <w:bCs w:val="0"/>
          <w:i w:val="0"/>
          <w:iCs w:val="0"/>
          <w:kern w:val="2"/>
          <w:sz w:val="32"/>
          <w:szCs w:val="32"/>
          <w:lang w:val="en-US" w:eastAsia="zh-CN" w:bidi="ar"/>
        </w:rPr>
        <w:t>先后完成对市属公办中小学及幼儿园学生伙食费标准的调整、御龙湾等中大型小区前期物业费的审批、对城区道路临时停车收费标准的进行下调、吉首市雅思中学2024年秋季开学学费审批进行核准。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643" w:firstLineChars="200"/>
        <w:jc w:val="both"/>
        <w:textAlignment w:val="auto"/>
        <w:rPr>
          <w:rFonts w:hint="eastAsia" w:ascii="仿宋_GB2312" w:hAnsi="仿宋_GB2312" w:eastAsia="仿宋_GB2312" w:cs="仿宋_GB2312"/>
          <w:b w:val="0"/>
          <w:bCs w:val="0"/>
          <w:i w:val="0"/>
          <w:iCs w:val="0"/>
          <w:kern w:val="2"/>
          <w:sz w:val="32"/>
          <w:szCs w:val="32"/>
          <w:lang w:val="en-US" w:eastAsia="zh-CN" w:bidi="ar"/>
        </w:rPr>
      </w:pPr>
      <w:r>
        <w:rPr>
          <w:rFonts w:hint="eastAsia" w:ascii="仿宋_GB2312" w:hAnsi="仿宋_GB2312" w:eastAsia="仿宋_GB2312" w:cs="仿宋_GB2312"/>
          <w:b/>
          <w:bCs/>
          <w:i w:val="0"/>
          <w:iCs w:val="0"/>
          <w:kern w:val="2"/>
          <w:sz w:val="32"/>
          <w:szCs w:val="32"/>
          <w:lang w:val="en-US" w:eastAsia="zh-CN" w:bidi="ar"/>
        </w:rPr>
        <w:t>三是全面深化改革有力推进。持续优化营商环境</w:t>
      </w:r>
      <w:r>
        <w:rPr>
          <w:rFonts w:hint="eastAsia" w:ascii="仿宋_GB2312" w:hAnsi="仿宋_GB2312" w:eastAsia="仿宋_GB2312" w:cs="仿宋_GB2312"/>
          <w:b w:val="0"/>
          <w:bCs w:val="0"/>
          <w:i w:val="0"/>
          <w:iCs w:val="0"/>
          <w:kern w:val="2"/>
          <w:sz w:val="32"/>
          <w:szCs w:val="32"/>
          <w:lang w:val="en-US" w:eastAsia="zh-CN" w:bidi="ar"/>
        </w:rPr>
        <w:t>。完善信用体系建设，实行守信联合激励和失信联合惩戒机制。服务建设全国统一大市场，建立了《不当干预全国统一大市场建设行为问题整改和典型案例约谈通报制度》，推动各部门形成工作合力。支持民营企业发展，开展助企纾困解难行动。全市有市场主体51730户，净增3879户，企业净增752户。</w:t>
      </w:r>
      <w:r>
        <w:rPr>
          <w:rFonts w:hint="eastAsia" w:ascii="仿宋_GB2312" w:hAnsi="仿宋_GB2312" w:eastAsia="仿宋_GB2312" w:cs="仿宋_GB2312"/>
          <w:b/>
          <w:bCs/>
          <w:i w:val="0"/>
          <w:iCs w:val="0"/>
          <w:kern w:val="2"/>
          <w:sz w:val="32"/>
          <w:szCs w:val="32"/>
          <w:lang w:val="en-US" w:eastAsia="zh-CN" w:bidi="ar"/>
        </w:rPr>
        <w:t>加快推进绿色低碳转型。</w:t>
      </w:r>
      <w:r>
        <w:rPr>
          <w:rFonts w:hint="eastAsia" w:ascii="仿宋_GB2312" w:hAnsi="仿宋_GB2312" w:eastAsia="仿宋_GB2312" w:cs="仿宋_GB2312"/>
          <w:b w:val="0"/>
          <w:bCs w:val="0"/>
          <w:i w:val="0"/>
          <w:iCs w:val="0"/>
          <w:kern w:val="2"/>
          <w:sz w:val="32"/>
          <w:szCs w:val="32"/>
          <w:lang w:val="en-US" w:eastAsia="zh-CN" w:bidi="ar"/>
        </w:rPr>
        <w:t>加快实施绿色化改造升级工程，上争资金2亿元推进峒河南北岸排水防涝整治提标、农村人居环境整治提升及乾州污水处理厂管网更新改造工程，提升污染治理和节能减碳基础能力；坚决遏制“两高”项目盲目发展，完善资源总量管理和全面节约制度，推进各类资源节约集约利用，推动产业全面向绿色发展转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643" w:firstLineChars="200"/>
        <w:jc w:val="both"/>
        <w:textAlignment w:val="auto"/>
        <w:rPr>
          <w:rFonts w:hint="eastAsia"/>
          <w:lang w:val="en-US" w:eastAsia="zh-CN"/>
        </w:rPr>
      </w:pPr>
      <w:r>
        <w:rPr>
          <w:rFonts w:hint="eastAsia" w:ascii="仿宋_GB2312" w:hAnsi="仿宋_GB2312" w:eastAsia="仿宋_GB2312" w:cs="仿宋_GB2312"/>
          <w:b/>
          <w:bCs/>
          <w:i w:val="0"/>
          <w:iCs w:val="0"/>
          <w:kern w:val="2"/>
          <w:sz w:val="32"/>
          <w:szCs w:val="32"/>
          <w:lang w:val="en-US" w:eastAsia="zh-CN" w:bidi="ar"/>
        </w:rPr>
        <w:t>四是提前谋划“十五五”规划编制。</w:t>
      </w:r>
      <w:r>
        <w:rPr>
          <w:rFonts w:hint="eastAsia" w:ascii="仿宋_GB2312" w:hAnsi="仿宋_GB2312" w:eastAsia="仿宋_GB2312" w:cs="仿宋_GB2312"/>
          <w:sz w:val="32"/>
          <w:szCs w:val="32"/>
          <w:lang w:val="en-US" w:eastAsia="zh-CN"/>
        </w:rPr>
        <w:t>启动我市“十五五”规划编制前期工作，已向上呈报拟纳入国家或省“十五五”发展规划的重大项目，报送了吉首市抽水蓄能电站、湘西磁浮快线旅游线路、国际陆港吉首分港建设项目、吉首市全钒液流电池储能项目、吉首市应急疏散基地等5个重大项目和乡村全面振兴、民族团结进步等2个“十五五”规划前期研究课题，其中吉首市抽水蓄能电站项目拟打包纳入国家“十五五”发展规划重大项目。确定了“十五五”规划编制的第三方咨询机构，目前已与第三方咨询机构对接，着手收集相关资料，开展前期《基本思路》研究，初步形成了《吉首市希望纳入国家、省、州“十五五”规划&lt;基本思路&gt;的重点内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（二）坚持主责主业，突出抓好项目建设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i w:val="0"/>
          <w:iCs w:val="0"/>
          <w:kern w:val="2"/>
          <w:sz w:val="32"/>
          <w:szCs w:val="32"/>
          <w:lang w:val="en-US" w:eastAsia="zh-CN" w:bidi="ar"/>
        </w:rPr>
        <w:t>一是加快推进项目建设。</w:t>
      </w:r>
      <w:r>
        <w:rPr>
          <w:rFonts w:hint="eastAsia" w:ascii="仿宋_GB2312" w:hAnsi="仿宋_GB2312" w:eastAsia="仿宋_GB2312" w:cs="仿宋_GB2312"/>
          <w:color w:val="auto"/>
          <w:kern w:val="0"/>
          <w:sz w:val="32"/>
          <w:szCs w:val="32"/>
          <w:lang w:val="en-US" w:eastAsia="zh-CN" w:bidi="ar"/>
        </w:rPr>
        <w:t>2024年实施省州重点项目45个，总投资390.56亿元，预计年度完成投资79.98亿元。续建项目24个，新开项目21个，续建项目复工率100%。</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b w:val="0"/>
          <w:bCs w:val="0"/>
          <w:i w:val="0"/>
          <w:iCs w:val="0"/>
          <w:color w:val="C00000"/>
          <w:kern w:val="2"/>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二是</w:t>
      </w:r>
      <w:r>
        <w:rPr>
          <w:rFonts w:hint="eastAsia" w:ascii="仿宋_GB2312" w:hAnsi="仿宋_GB2312" w:eastAsia="仿宋_GB2312" w:cs="仿宋_GB2312"/>
          <w:b/>
          <w:bCs/>
          <w:i w:val="0"/>
          <w:iCs w:val="0"/>
          <w:kern w:val="2"/>
          <w:sz w:val="32"/>
          <w:szCs w:val="32"/>
          <w:lang w:val="en-US" w:eastAsia="zh-CN" w:bidi="ar"/>
        </w:rPr>
        <w:t>加强谋划项目储备。</w:t>
      </w:r>
      <w:r>
        <w:rPr>
          <w:rFonts w:hint="eastAsia" w:ascii="仿宋_GB2312" w:hAnsi="仿宋_GB2312" w:eastAsia="仿宋_GB2312" w:cs="仿宋_GB2312"/>
          <w:b w:val="0"/>
          <w:bCs w:val="0"/>
          <w:i w:val="0"/>
          <w:iCs w:val="0"/>
          <w:color w:val="auto"/>
          <w:kern w:val="2"/>
          <w:sz w:val="32"/>
          <w:szCs w:val="32"/>
          <w:lang w:val="en-US" w:eastAsia="zh-CN" w:bidi="ar"/>
        </w:rPr>
        <w:t>根据省州</w:t>
      </w:r>
      <w:r>
        <w:rPr>
          <w:rFonts w:hint="eastAsia" w:ascii="仿宋_GB2312" w:hAnsi="仿宋_GB2312" w:eastAsia="仿宋_GB2312" w:cs="仿宋_GB2312"/>
          <w:b/>
          <w:bCs/>
          <w:i w:val="0"/>
          <w:iCs w:val="0"/>
          <w:color w:val="auto"/>
          <w:kern w:val="2"/>
          <w:sz w:val="32"/>
          <w:szCs w:val="32"/>
          <w:lang w:val="en-US" w:eastAsia="zh-CN" w:bidi="ar"/>
        </w:rPr>
        <w:t>“项目大谋划 谋划大项目”</w:t>
      </w:r>
      <w:r>
        <w:rPr>
          <w:rFonts w:hint="eastAsia" w:ascii="仿宋_GB2312" w:hAnsi="仿宋_GB2312" w:eastAsia="仿宋_GB2312" w:cs="仿宋_GB2312"/>
          <w:b w:val="0"/>
          <w:bCs w:val="0"/>
          <w:i w:val="0"/>
          <w:iCs w:val="0"/>
          <w:color w:val="auto"/>
          <w:kern w:val="2"/>
          <w:sz w:val="32"/>
          <w:szCs w:val="32"/>
          <w:lang w:val="en-US" w:eastAsia="zh-CN" w:bidi="ar"/>
        </w:rPr>
        <w:t>工作要求，我市谋划储备2025-2028年项目164个，总投资371.89亿元。包括中央预算内项目77个，拟申报中央预算内资金34亿元；超长期特别国债项目45个，拟申报超长期特别国债资金59亿元；专项债券项目50个，拟申报专项债券75.22亿元。其中：符合资金投向、包装成熟，并列入</w:t>
      </w:r>
      <w:r>
        <w:rPr>
          <w:rFonts w:hint="eastAsia" w:ascii="仿宋_GB2312" w:hAnsi="仿宋_GB2312" w:eastAsia="仿宋_GB2312" w:cs="仿宋_GB2312"/>
          <w:b/>
          <w:bCs/>
          <w:i w:val="0"/>
          <w:iCs w:val="0"/>
          <w:color w:val="auto"/>
          <w:kern w:val="2"/>
          <w:sz w:val="32"/>
          <w:szCs w:val="32"/>
          <w:lang w:val="en-US" w:eastAsia="zh-CN" w:bidi="ar"/>
        </w:rPr>
        <w:t>2025年中央省预算内储备项目53个，</w:t>
      </w:r>
      <w:r>
        <w:rPr>
          <w:rFonts w:hint="eastAsia" w:ascii="仿宋_GB2312" w:hAnsi="仿宋_GB2312" w:eastAsia="仿宋_GB2312" w:cs="仿宋_GB2312"/>
          <w:b w:val="0"/>
          <w:bCs w:val="0"/>
          <w:i w:val="0"/>
          <w:iCs w:val="0"/>
          <w:color w:val="auto"/>
          <w:kern w:val="2"/>
          <w:sz w:val="32"/>
          <w:szCs w:val="32"/>
          <w:lang w:val="en-US" w:eastAsia="zh-CN" w:bidi="ar"/>
        </w:rPr>
        <w:t>总投资25.87亿元，拟申报中央预算内资金16.82亿元；</w:t>
      </w:r>
      <w:r>
        <w:rPr>
          <w:rFonts w:hint="eastAsia" w:ascii="仿宋_GB2312" w:hAnsi="仿宋_GB2312" w:eastAsia="仿宋_GB2312" w:cs="仿宋_GB2312"/>
          <w:b/>
          <w:bCs/>
          <w:i w:val="0"/>
          <w:iCs w:val="0"/>
          <w:color w:val="auto"/>
          <w:kern w:val="2"/>
          <w:sz w:val="32"/>
          <w:szCs w:val="32"/>
          <w:lang w:val="en-US" w:eastAsia="zh-CN" w:bidi="ar"/>
        </w:rPr>
        <w:t>2025年超长期特别国债“两重”“两新”储备项目</w:t>
      </w:r>
      <w:r>
        <w:rPr>
          <w:rFonts w:hint="eastAsia" w:ascii="仿宋_GB2312" w:hAnsi="仿宋_GB2312" w:eastAsia="仿宋_GB2312" w:cs="仿宋_GB2312"/>
          <w:b w:val="0"/>
          <w:bCs w:val="0"/>
          <w:i w:val="0"/>
          <w:iCs w:val="0"/>
          <w:color w:val="auto"/>
          <w:kern w:val="2"/>
          <w:sz w:val="32"/>
          <w:szCs w:val="32"/>
          <w:lang w:val="en-US" w:eastAsia="zh-CN" w:bidi="ar"/>
        </w:rPr>
        <w:t>17个，项目总投资15.14亿元，超长期特别国债需求10.53亿元；2025年已初步谋划专项债项目38个，总投资98.18亿元，债券需求68.51亿元。</w:t>
      </w:r>
    </w:p>
    <w:p>
      <w:pPr>
        <w:pStyle w:val="6"/>
        <w:keepNext w:val="0"/>
        <w:keepLines w:val="0"/>
        <w:pageBreakBefore w:val="0"/>
        <w:kinsoku/>
        <w:wordWrap/>
        <w:overflowPunct/>
        <w:topLinePunct w:val="0"/>
        <w:autoSpaceDE/>
        <w:autoSpaceDN/>
        <w:bidi w:val="0"/>
        <w:adjustRightInd/>
        <w:snapToGrid/>
        <w:spacing w:line="500" w:lineRule="exact"/>
        <w:ind w:left="0" w:leftChars="0" w:firstLine="643" w:firstLineChars="200"/>
        <w:textAlignment w:val="auto"/>
        <w:rPr>
          <w:rFonts w:hint="eastAsia"/>
          <w:lang w:val="en-US" w:eastAsia="zh-CN"/>
        </w:rPr>
      </w:pPr>
      <w:r>
        <w:rPr>
          <w:rFonts w:hint="eastAsia" w:ascii="仿宋_GB2312" w:hAnsi="仿宋_GB2312" w:eastAsia="仿宋_GB2312" w:cs="仿宋_GB2312"/>
          <w:b/>
          <w:bCs/>
          <w:i w:val="0"/>
          <w:iCs w:val="0"/>
          <w:kern w:val="2"/>
          <w:sz w:val="32"/>
          <w:szCs w:val="32"/>
          <w:lang w:val="en-US" w:eastAsia="zh-CN" w:bidi="ar"/>
        </w:rPr>
        <w:t>三是全力做好项目保障。</w:t>
      </w:r>
      <w:r>
        <w:rPr>
          <w:rFonts w:hint="eastAsia" w:ascii="仿宋_GB2312" w:hAnsi="仿宋_GB2312" w:eastAsia="仿宋_GB2312" w:cs="仿宋_GB2312"/>
          <w:b w:val="0"/>
          <w:bCs w:val="0"/>
          <w:i w:val="0"/>
          <w:iCs w:val="0"/>
          <w:kern w:val="2"/>
          <w:sz w:val="32"/>
          <w:szCs w:val="32"/>
          <w:lang w:val="en-US" w:eastAsia="zh-CN" w:bidi="ar"/>
        </w:rPr>
        <w:t>成立了全市项目前期工作协调领导小组，组建项目前期工作专班，明确专抓项目领导和专抓工作人员。建立重大项目前期、政府拟实施项目前期、州重点项目动态储备前期建立工作台账，实行清单管理，定期开展项目前期研究论证，着力加强用地、用工、金融等政策配套，全面提速项目立项、手续报批、开工建设各个环节。加强管理督导。落实领导包联包抓重点项目责任制，定期分析项目推进和问题整改落实情况，通过“三函”督办，限期清零，全面提速审批、核准、开工、建设各个环节。加强项目招投标监管，严禁未批先建、边批边建，杜绝项目烂尾、资源浪费、重大风险。</w:t>
      </w:r>
    </w:p>
    <w:p>
      <w:pPr>
        <w:pStyle w:val="6"/>
        <w:keepNext w:val="0"/>
        <w:keepLines w:val="0"/>
        <w:pageBreakBefore w:val="0"/>
        <w:kinsoku/>
        <w:wordWrap/>
        <w:overflowPunct/>
        <w:topLinePunct w:val="0"/>
        <w:autoSpaceDE/>
        <w:autoSpaceDN/>
        <w:bidi w:val="0"/>
        <w:adjustRightInd/>
        <w:snapToGrid/>
        <w:spacing w:line="500" w:lineRule="exact"/>
        <w:ind w:left="0" w:leftChars="0" w:firstLine="643" w:firstLineChars="200"/>
        <w:textAlignment w:val="auto"/>
        <w:rPr>
          <w:rFonts w:hint="eastAsia" w:ascii="仿宋_GB2312" w:hAnsi="仿宋_GB2312" w:eastAsia="仿宋_GB2312" w:cs="仿宋_GB2312"/>
          <w:b w:val="0"/>
          <w:bCs w:val="0"/>
          <w:i w:val="0"/>
          <w:iCs w:val="0"/>
          <w:color w:val="C00000"/>
          <w:kern w:val="2"/>
          <w:sz w:val="32"/>
          <w:szCs w:val="32"/>
          <w:lang w:val="en-US" w:eastAsia="zh-CN" w:bidi="ar"/>
        </w:rPr>
      </w:pPr>
      <w:r>
        <w:rPr>
          <w:rFonts w:hint="eastAsia" w:ascii="仿宋_GB2312" w:hAnsi="仿宋_GB2312" w:eastAsia="仿宋_GB2312" w:cs="仿宋_GB2312"/>
          <w:b/>
          <w:bCs/>
          <w:i w:val="0"/>
          <w:iCs w:val="0"/>
          <w:kern w:val="2"/>
          <w:sz w:val="32"/>
          <w:szCs w:val="32"/>
          <w:lang w:val="en-US" w:eastAsia="zh-CN" w:bidi="ar"/>
        </w:rPr>
        <w:t>四是抓实固定资产投资。</w:t>
      </w:r>
      <w:r>
        <w:rPr>
          <w:rFonts w:hint="eastAsia" w:ascii="仿宋_GB2312" w:hAnsi="仿宋_GB2312" w:eastAsia="仿宋_GB2312" w:cs="仿宋_GB2312"/>
          <w:b w:val="0"/>
          <w:bCs w:val="0"/>
          <w:i w:val="0"/>
          <w:iCs w:val="0"/>
          <w:color w:val="auto"/>
          <w:kern w:val="2"/>
          <w:sz w:val="32"/>
          <w:szCs w:val="32"/>
          <w:lang w:val="en-US" w:eastAsia="zh-CN" w:bidi="ar"/>
        </w:rPr>
        <w:t>目前我市2024年固定资产在库118个项目，其中投资类在库项目61个，房地产类在库项目57个；项目总投资278亿元，累计完成投资231亿元，剩余空间47亿元。预计12月完成投资3.6亿元，（不含酒鬼酒数据），1-12月预计完成投资60.8亿元，同比（59.5亿元）增长2.2%。</w:t>
      </w:r>
    </w:p>
    <w:p>
      <w:pPr>
        <w:keepNext w:val="0"/>
        <w:keepLines w:val="0"/>
        <w:pageBreakBefore w:val="0"/>
        <w:numPr>
          <w:ilvl w:val="0"/>
          <w:numId w:val="3"/>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特色亮点显成效，用足政策扩大投资增量</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color w:val="auto"/>
          <w:kern w:val="0"/>
          <w:sz w:val="32"/>
          <w:szCs w:val="32"/>
          <w:lang w:val="en-US" w:eastAsia="zh-CN" w:bidi="ar"/>
        </w:rPr>
        <w:t>强化宏观政策逆周期和跨周期调节、加强政策工具创新和协调配合，梳理今年以来国家出台的一揽子增量政策文件名录九大类71项，特别是抓住“中央、省预算内”“专项债券”“两重”“两新”等政策红利。今年我市共向上申报并获专项资金项目34个，总投资25.57亿元，</w:t>
      </w:r>
      <w:r>
        <w:rPr>
          <w:rFonts w:hint="eastAsia" w:ascii="仿宋_GB2312" w:hAnsi="仿宋_GB2312" w:eastAsia="仿宋_GB2312" w:cs="仿宋_GB2312"/>
          <w:b/>
          <w:bCs/>
          <w:color w:val="auto"/>
          <w:kern w:val="0"/>
          <w:sz w:val="32"/>
          <w:szCs w:val="32"/>
          <w:lang w:val="en-US" w:eastAsia="zh-CN" w:bidi="ar"/>
        </w:rPr>
        <w:t>共获得上级专项资金10.77亿元。</w:t>
      </w:r>
      <w:r>
        <w:rPr>
          <w:rFonts w:hint="eastAsia" w:ascii="仿宋_GB2312" w:hAnsi="仿宋_GB2312" w:eastAsia="仿宋_GB2312" w:cs="仿宋_GB2312"/>
          <w:color w:val="auto"/>
          <w:kern w:val="0"/>
          <w:sz w:val="32"/>
          <w:szCs w:val="32"/>
          <w:lang w:val="en-US" w:eastAsia="zh-CN" w:bidi="ar"/>
        </w:rPr>
        <w:t>其中，中央预算内投资项目12个，</w:t>
      </w:r>
      <w:r>
        <w:rPr>
          <w:rFonts w:hint="eastAsia" w:ascii="仿宋_GB2312" w:hAnsi="仿宋_GB2312" w:eastAsia="仿宋_GB2312" w:cs="仿宋_GB2312"/>
          <w:b/>
          <w:bCs/>
          <w:color w:val="auto"/>
          <w:kern w:val="0"/>
          <w:sz w:val="32"/>
          <w:szCs w:val="32"/>
          <w:lang w:val="en-US" w:eastAsia="zh-CN" w:bidi="ar"/>
        </w:rPr>
        <w:t>下达中央预算内资金1.31亿元。</w:t>
      </w:r>
      <w:r>
        <w:rPr>
          <w:rFonts w:hint="eastAsia" w:ascii="仿宋_GB2312" w:hAnsi="仿宋_GB2312" w:eastAsia="仿宋_GB2312" w:cs="仿宋_GB2312"/>
          <w:color w:val="auto"/>
          <w:kern w:val="0"/>
          <w:sz w:val="32"/>
          <w:szCs w:val="32"/>
          <w:lang w:val="en-US" w:eastAsia="zh-CN" w:bidi="ar"/>
        </w:rPr>
        <w:t>已在国家重大项目库生成调度任务项目11个，已开工8个，开工率72.7%，共支付0.85亿元，中央预算内资金支付率65%；省预算内资金项目3个，</w:t>
      </w:r>
      <w:r>
        <w:rPr>
          <w:rFonts w:hint="eastAsia" w:ascii="仿宋_GB2312" w:hAnsi="仿宋_GB2312" w:eastAsia="仿宋_GB2312" w:cs="仿宋_GB2312"/>
          <w:b/>
          <w:bCs/>
          <w:color w:val="auto"/>
          <w:kern w:val="0"/>
          <w:sz w:val="32"/>
          <w:szCs w:val="32"/>
          <w:lang w:val="en-US" w:eastAsia="zh-CN" w:bidi="ar"/>
        </w:rPr>
        <w:t>安排省预算内资金780万元</w:t>
      </w:r>
      <w:r>
        <w:rPr>
          <w:rFonts w:hint="eastAsia" w:ascii="仿宋_GB2312" w:hAnsi="仿宋_GB2312" w:eastAsia="仿宋_GB2312" w:cs="仿宋_GB2312"/>
          <w:color w:val="auto"/>
          <w:kern w:val="0"/>
          <w:sz w:val="32"/>
          <w:szCs w:val="32"/>
          <w:lang w:val="en-US" w:eastAsia="zh-CN" w:bidi="ar"/>
        </w:rPr>
        <w:t>，开工1个，开工率33%；</w:t>
      </w:r>
      <w:r>
        <w:rPr>
          <w:rFonts w:hint="eastAsia" w:ascii="仿宋_GB2312" w:hAnsi="仿宋_GB2312" w:eastAsia="仿宋_GB2312" w:cs="仿宋_GB2312"/>
          <w:b w:val="0"/>
          <w:bCs w:val="0"/>
          <w:color w:val="auto"/>
          <w:kern w:val="0"/>
          <w:sz w:val="32"/>
          <w:szCs w:val="32"/>
          <w:lang w:val="en-US" w:eastAsia="zh-CN" w:bidi="ar"/>
        </w:rPr>
        <w:t>专项债券项目</w:t>
      </w:r>
      <w:r>
        <w:rPr>
          <w:rFonts w:hint="eastAsia" w:ascii="仿宋_GB2312" w:hAnsi="仿宋_GB2312" w:eastAsia="仿宋_GB2312" w:cs="仿宋_GB2312"/>
          <w:color w:val="auto"/>
          <w:kern w:val="0"/>
          <w:sz w:val="32"/>
          <w:szCs w:val="32"/>
          <w:lang w:val="en-US" w:eastAsia="zh-CN" w:bidi="ar"/>
        </w:rPr>
        <w:t>19个，总投资60亿元，年度债券需求22.9亿元。截至目前，两批项目已获国家发改委、财政部一致审核通过10个</w:t>
      </w:r>
      <w:r>
        <w:rPr>
          <w:rFonts w:hint="eastAsia" w:ascii="仿宋_GB2312" w:hAnsi="仿宋_GB2312" w:eastAsia="仿宋_GB2312" w:cs="仿宋_GB2312"/>
          <w:b w:val="0"/>
          <w:bCs w:val="0"/>
          <w:color w:val="auto"/>
          <w:kern w:val="0"/>
          <w:sz w:val="32"/>
          <w:szCs w:val="32"/>
          <w:lang w:val="en-US" w:eastAsia="zh-CN" w:bidi="ar"/>
        </w:rPr>
        <w:t>，2024年债券需求资金9.87亿元。</w:t>
      </w:r>
      <w:r>
        <w:rPr>
          <w:rFonts w:hint="eastAsia" w:ascii="仿宋_GB2312" w:hAnsi="仿宋_GB2312" w:eastAsia="仿宋_GB2312" w:cs="仿宋_GB2312"/>
          <w:color w:val="auto"/>
          <w:kern w:val="0"/>
          <w:sz w:val="32"/>
          <w:szCs w:val="32"/>
          <w:lang w:val="en-US" w:eastAsia="zh-CN" w:bidi="ar"/>
        </w:rPr>
        <w:t>2024年共发行专项债券项目6个，</w:t>
      </w:r>
      <w:r>
        <w:rPr>
          <w:rFonts w:hint="eastAsia" w:ascii="仿宋_GB2312" w:hAnsi="仿宋_GB2312" w:eastAsia="仿宋_GB2312" w:cs="仿宋_GB2312"/>
          <w:b/>
          <w:bCs/>
          <w:color w:val="auto"/>
          <w:kern w:val="0"/>
          <w:sz w:val="32"/>
          <w:szCs w:val="32"/>
          <w:lang w:val="en-US" w:eastAsia="zh-CN" w:bidi="ar"/>
        </w:rPr>
        <w:t>发行专项债券6.23亿元（其中0.92亿元为化债资金）</w:t>
      </w:r>
      <w:r>
        <w:rPr>
          <w:rFonts w:hint="eastAsia" w:ascii="仿宋_GB2312" w:hAnsi="仿宋_GB2312" w:eastAsia="仿宋_GB2312" w:cs="仿宋_GB2312"/>
          <w:color w:val="auto"/>
          <w:kern w:val="0"/>
          <w:sz w:val="32"/>
          <w:szCs w:val="32"/>
          <w:lang w:val="en-US" w:eastAsia="zh-CN" w:bidi="ar"/>
        </w:rPr>
        <w:t>。已开工项目4个，项目开工率66.7%；</w:t>
      </w:r>
      <w:r>
        <w:rPr>
          <w:rFonts w:hint="eastAsia" w:ascii="仿宋_GB2312" w:hAnsi="仿宋_GB2312" w:eastAsia="仿宋_GB2312" w:cs="仿宋_GB2312"/>
          <w:b/>
          <w:bCs/>
          <w:color w:val="auto"/>
          <w:kern w:val="0"/>
          <w:sz w:val="32"/>
          <w:szCs w:val="32"/>
          <w:lang w:val="en-US" w:eastAsia="zh-CN" w:bidi="ar"/>
        </w:rPr>
        <w:t>当年发行专项债券已到位5.31亿元，已使用债券资金2.93亿元</w:t>
      </w:r>
      <w:r>
        <w:rPr>
          <w:rFonts w:hint="eastAsia" w:ascii="仿宋_GB2312" w:hAnsi="仿宋_GB2312" w:eastAsia="仿宋_GB2312" w:cs="仿宋_GB2312"/>
          <w:color w:val="auto"/>
          <w:kern w:val="0"/>
          <w:sz w:val="32"/>
          <w:szCs w:val="32"/>
          <w:lang w:val="en-US" w:eastAsia="zh-CN" w:bidi="ar"/>
        </w:rPr>
        <w:t>，资金使用率55.18%；增发国债项目12个，</w:t>
      </w:r>
      <w:r>
        <w:rPr>
          <w:rFonts w:hint="eastAsia" w:ascii="仿宋_GB2312" w:hAnsi="仿宋_GB2312" w:eastAsia="仿宋_GB2312" w:cs="仿宋_GB2312"/>
          <w:b/>
          <w:bCs/>
          <w:color w:val="auto"/>
          <w:kern w:val="0"/>
          <w:sz w:val="32"/>
          <w:szCs w:val="32"/>
          <w:lang w:val="en-US" w:eastAsia="zh-CN" w:bidi="ar"/>
        </w:rPr>
        <w:t>安排增发国债资金2.59亿元</w:t>
      </w:r>
      <w:r>
        <w:rPr>
          <w:rFonts w:hint="eastAsia" w:ascii="仿宋_GB2312" w:hAnsi="仿宋_GB2312" w:eastAsia="仿宋_GB2312" w:cs="仿宋_GB2312"/>
          <w:color w:val="auto"/>
          <w:kern w:val="0"/>
          <w:sz w:val="32"/>
          <w:szCs w:val="32"/>
          <w:lang w:val="en-US" w:eastAsia="zh-CN" w:bidi="ar"/>
        </w:rPr>
        <w:t>，截止目前，已开工建设项目12个，开工率100%；已竣工项目2个，累计支付增发国债资金1.4亿元，增发国债资金支付率54%。超长期特别国债项目1个，</w:t>
      </w:r>
      <w:r>
        <w:rPr>
          <w:rFonts w:hint="eastAsia" w:ascii="仿宋_GB2312" w:hAnsi="仿宋_GB2312" w:eastAsia="仿宋_GB2312" w:cs="仿宋_GB2312"/>
          <w:b/>
          <w:bCs/>
          <w:color w:val="auto"/>
          <w:kern w:val="0"/>
          <w:sz w:val="32"/>
          <w:szCs w:val="32"/>
          <w:lang w:val="en-US" w:eastAsia="zh-CN" w:bidi="ar"/>
        </w:rPr>
        <w:t>安排超长期特别国债5660万元</w:t>
      </w:r>
      <w:r>
        <w:rPr>
          <w:rFonts w:hint="eastAsia" w:ascii="仿宋_GB2312" w:hAnsi="仿宋_GB2312" w:eastAsia="仿宋_GB2312" w:cs="仿宋_GB2312"/>
          <w:color w:val="auto"/>
          <w:kern w:val="0"/>
          <w:sz w:val="32"/>
          <w:szCs w:val="32"/>
          <w:lang w:val="en-US" w:eastAsia="zh-CN" w:bidi="ar"/>
        </w:rPr>
        <w:t>，目前项目正在进行招投标手续。此外，我市还向上</w:t>
      </w:r>
      <w:r>
        <w:rPr>
          <w:rFonts w:hint="eastAsia" w:ascii="仿宋_GB2312" w:hAnsi="仿宋_GB2312" w:eastAsia="仿宋_GB2312" w:cs="仿宋_GB2312"/>
          <w:b/>
          <w:bCs/>
          <w:color w:val="auto"/>
          <w:kern w:val="0"/>
          <w:sz w:val="32"/>
          <w:szCs w:val="32"/>
          <w:lang w:val="en-US" w:eastAsia="zh-CN" w:bidi="ar"/>
        </w:rPr>
        <w:t>申报了2024年“两重”“两新”项目7个</w:t>
      </w:r>
      <w:r>
        <w:rPr>
          <w:rFonts w:hint="eastAsia" w:ascii="仿宋_GB2312" w:hAnsi="仿宋_GB2312" w:eastAsia="仿宋_GB2312" w:cs="仿宋_GB2312"/>
          <w:color w:val="auto"/>
          <w:kern w:val="0"/>
          <w:sz w:val="32"/>
          <w:szCs w:val="32"/>
          <w:lang w:val="en-US" w:eastAsia="zh-CN" w:bidi="ar"/>
        </w:rPr>
        <w:t>，项目总投资2.35亿元,资金需求1亿元；其中上报国家发改委“两新”项目2个，项目总投资1.66亿元,资金需求1亿元，经反馈，国家发改委正在审核“两新”项目1个，总投资1.16亿元，资金需求0.81亿元；上报省预算内“两新”项目5个，项目总投资0.69亿元，资金需求0.19亿元，经反馈，省预算内“两新”项目通过审核一个，总投资0.13亿元，资金需求0.018亿元。我市联合各大银行申报设备更新长期再贷款项目13个，项目总投资7.65亿，贷款总需求5.45亿，国家发改委审核通过1个，获批额度0.3亿元。</w:t>
      </w:r>
    </w:p>
    <w:p>
      <w:pPr>
        <w:keepNext w:val="0"/>
        <w:keepLines w:val="0"/>
        <w:pageBreakBefore w:val="0"/>
        <w:numPr>
          <w:ilvl w:val="0"/>
          <w:numId w:val="2"/>
        </w:numPr>
        <w:kinsoku/>
        <w:wordWrap/>
        <w:overflowPunct/>
        <w:topLinePunct w:val="0"/>
        <w:autoSpaceDE/>
        <w:autoSpaceDN/>
        <w:bidi w:val="0"/>
        <w:spacing w:line="500" w:lineRule="exact"/>
        <w:ind w:left="0" w:leftChars="0" w:firstLine="640" w:firstLineChars="200"/>
        <w:rPr>
          <w:rFonts w:hint="eastAsia" w:ascii="黑体" w:hAnsi="黑体" w:eastAsia="黑体"/>
          <w:sz w:val="32"/>
          <w:szCs w:val="32"/>
        </w:rPr>
      </w:pPr>
      <w:r>
        <w:rPr>
          <w:rFonts w:hint="eastAsia" w:ascii="黑体" w:hAnsi="黑体" w:eastAsia="黑体"/>
          <w:sz w:val="32"/>
          <w:szCs w:val="32"/>
        </w:rPr>
        <w:t>综合评价情况及评价结论</w:t>
      </w:r>
    </w:p>
    <w:p>
      <w:pPr>
        <w:keepNext w:val="0"/>
        <w:keepLines w:val="0"/>
        <w:pageBreakBefore w:val="0"/>
        <w:shd w:val="clear"/>
        <w:kinsoku/>
        <w:wordWrap/>
        <w:overflowPunct/>
        <w:topLinePunct w:val="0"/>
        <w:autoSpaceDE/>
        <w:autoSpaceDN/>
        <w:bidi w:val="0"/>
        <w:spacing w:line="500" w:lineRule="exact"/>
        <w:ind w:firstLine="643"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14:textFill>
            <w14:solidFill>
              <w14:schemeClr w14:val="tx1"/>
            </w14:solidFill>
          </w14:textFill>
        </w:rPr>
        <w:t>（一）部门整体支出绩效评价综合结论</w:t>
      </w:r>
    </w:p>
    <w:p>
      <w:pPr>
        <w:keepNext w:val="0"/>
        <w:keepLines w:val="0"/>
        <w:pageBreakBefore w:val="0"/>
        <w:shd w:val="clear"/>
        <w:kinsoku/>
        <w:wordWrap/>
        <w:overflowPunct/>
        <w:topLinePunct w:val="0"/>
        <w:autoSpaceDE/>
        <w:autoSpaceDN/>
        <w:bidi w:val="0"/>
        <w:spacing w:line="500" w:lineRule="exact"/>
        <w:ind w:firstLine="761" w:firstLineChars="238"/>
        <w:outlineLvl w:val="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吉首市发改局20</w:t>
      </w:r>
      <w:r>
        <w:rPr>
          <w:rFonts w:hint="eastAsia" w:ascii="仿宋_GB2312" w:hAnsi="仿宋_GB2312" w:eastAsia="仿宋_GB2312" w:cs="仿宋_GB2312"/>
          <w:bCs/>
          <w:color w:val="auto"/>
          <w:sz w:val="32"/>
          <w:szCs w:val="32"/>
          <w:lang w:val="en-US" w:eastAsia="zh-CN"/>
        </w:rPr>
        <w:t>24</w:t>
      </w:r>
      <w:r>
        <w:rPr>
          <w:rFonts w:hint="eastAsia" w:ascii="仿宋_GB2312" w:hAnsi="仿宋_GB2312" w:eastAsia="仿宋_GB2312" w:cs="仿宋_GB2312"/>
          <w:bCs/>
          <w:color w:val="auto"/>
          <w:sz w:val="32"/>
          <w:szCs w:val="32"/>
        </w:rPr>
        <w:t>年度部门整体支出绩效评价综合得分为</w:t>
      </w:r>
      <w:r>
        <w:rPr>
          <w:rFonts w:hint="eastAsia" w:ascii="仿宋_GB2312" w:hAnsi="仿宋_GB2312" w:eastAsia="仿宋_GB2312" w:cs="仿宋_GB2312"/>
          <w:bCs/>
          <w:color w:val="auto"/>
          <w:sz w:val="32"/>
          <w:szCs w:val="32"/>
          <w:lang w:val="en-US" w:eastAsia="zh-CN"/>
        </w:rPr>
        <w:t>90.35</w:t>
      </w:r>
      <w:r>
        <w:rPr>
          <w:rFonts w:hint="eastAsia" w:ascii="仿宋_GB2312" w:hAnsi="仿宋_GB2312" w:eastAsia="仿宋_GB2312" w:cs="仿宋_GB2312"/>
          <w:bCs/>
          <w:color w:val="auto"/>
          <w:sz w:val="32"/>
          <w:szCs w:val="32"/>
        </w:rPr>
        <w:t>分，本单位绩效自评结果等次为“优”，其中：产出</w:t>
      </w:r>
      <w:r>
        <w:rPr>
          <w:rFonts w:hint="eastAsia" w:ascii="仿宋_GB2312" w:hAnsi="仿宋_GB2312" w:eastAsia="仿宋_GB2312" w:cs="仿宋_GB2312"/>
          <w:bCs/>
          <w:color w:val="auto"/>
          <w:sz w:val="32"/>
          <w:szCs w:val="32"/>
          <w:lang w:val="en-US" w:eastAsia="zh-CN"/>
        </w:rPr>
        <w:t>25</w:t>
      </w:r>
      <w:r>
        <w:rPr>
          <w:rFonts w:hint="eastAsia" w:ascii="仿宋_GB2312" w:hAnsi="仿宋_GB2312" w:eastAsia="仿宋_GB2312" w:cs="仿宋_GB2312"/>
          <w:bCs/>
          <w:color w:val="auto"/>
          <w:sz w:val="32"/>
          <w:szCs w:val="32"/>
        </w:rPr>
        <w:t>分</w:t>
      </w:r>
      <w:r>
        <w:rPr>
          <w:rFonts w:hint="eastAsia" w:ascii="仿宋_GB2312" w:hAnsi="仿宋_GB2312" w:eastAsia="仿宋_GB2312" w:cs="仿宋_GB2312"/>
          <w:bCs/>
          <w:color w:val="auto"/>
          <w:sz w:val="32"/>
          <w:szCs w:val="32"/>
          <w:lang w:eastAsia="zh-CN"/>
        </w:rPr>
        <w:t>，成本</w:t>
      </w:r>
      <w:r>
        <w:rPr>
          <w:rFonts w:hint="eastAsia" w:ascii="仿宋_GB2312" w:hAnsi="仿宋_GB2312" w:eastAsia="仿宋_GB2312" w:cs="仿宋_GB2312"/>
          <w:bCs/>
          <w:color w:val="auto"/>
          <w:sz w:val="32"/>
          <w:szCs w:val="32"/>
          <w:lang w:val="en-US" w:eastAsia="zh-CN"/>
        </w:rPr>
        <w:t>7分，</w:t>
      </w:r>
      <w:r>
        <w:rPr>
          <w:rFonts w:hint="eastAsia" w:ascii="仿宋_GB2312" w:hAnsi="仿宋_GB2312" w:eastAsia="仿宋_GB2312" w:cs="仿宋_GB2312"/>
          <w:bCs/>
          <w:color w:val="auto"/>
          <w:sz w:val="32"/>
          <w:szCs w:val="32"/>
        </w:rPr>
        <w:t>效益</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0分，满意度</w:t>
      </w:r>
      <w:r>
        <w:rPr>
          <w:rFonts w:hint="eastAsia" w:ascii="仿宋_GB2312" w:hAnsi="仿宋_GB2312" w:eastAsia="仿宋_GB2312" w:cs="仿宋_GB2312"/>
          <w:bCs/>
          <w:color w:val="auto"/>
          <w:sz w:val="32"/>
          <w:szCs w:val="32"/>
          <w:lang w:val="en-US" w:eastAsia="zh-CN"/>
        </w:rPr>
        <w:t>10</w:t>
      </w:r>
      <w:r>
        <w:rPr>
          <w:rFonts w:hint="eastAsia" w:ascii="仿宋_GB2312" w:hAnsi="仿宋_GB2312" w:eastAsia="仿宋_GB2312" w:cs="仿宋_GB2312"/>
          <w:bCs/>
          <w:color w:val="auto"/>
          <w:sz w:val="32"/>
          <w:szCs w:val="32"/>
        </w:rPr>
        <w:t>分</w:t>
      </w:r>
      <w:r>
        <w:rPr>
          <w:rFonts w:hint="eastAsia" w:ascii="仿宋_GB2312" w:hAnsi="仿宋_GB2312" w:eastAsia="仿宋_GB2312" w:cs="仿宋_GB2312"/>
          <w:bCs/>
          <w:color w:val="auto"/>
          <w:sz w:val="32"/>
          <w:szCs w:val="32"/>
          <w:lang w:eastAsia="zh-CN"/>
        </w:rPr>
        <w:t>，执行</w:t>
      </w:r>
      <w:r>
        <w:rPr>
          <w:rFonts w:hint="eastAsia" w:ascii="仿宋_GB2312" w:hAnsi="仿宋_GB2312" w:eastAsia="仿宋_GB2312" w:cs="仿宋_GB2312"/>
          <w:bCs/>
          <w:color w:val="auto"/>
          <w:sz w:val="32"/>
          <w:szCs w:val="32"/>
          <w:lang w:val="en-US" w:eastAsia="zh-CN"/>
        </w:rPr>
        <w:t>8.35分</w:t>
      </w:r>
      <w:r>
        <w:rPr>
          <w:rFonts w:hint="eastAsia" w:ascii="仿宋_GB2312" w:hAnsi="仿宋_GB2312" w:eastAsia="仿宋_GB2312" w:cs="仿宋_GB2312"/>
          <w:bCs/>
          <w:color w:val="auto"/>
          <w:sz w:val="32"/>
          <w:szCs w:val="32"/>
        </w:rPr>
        <w:t>。一级指标具体得分情况详见下表：</w:t>
      </w:r>
    </w:p>
    <w:tbl>
      <w:tblPr>
        <w:tblStyle w:val="9"/>
        <w:tblpPr w:leftFromText="180" w:rightFromText="180" w:vertAnchor="text" w:horzAnchor="page" w:tblpXSpec="center" w:tblpY="89"/>
        <w:tblOverlap w:val="never"/>
        <w:tblW w:w="8466"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autofit"/>
        <w:tblCellMar>
          <w:top w:w="30" w:type="dxa"/>
          <w:left w:w="30" w:type="dxa"/>
          <w:bottom w:w="30" w:type="dxa"/>
          <w:right w:w="30" w:type="dxa"/>
        </w:tblCellMar>
      </w:tblPr>
      <w:tblGrid>
        <w:gridCol w:w="2063"/>
        <w:gridCol w:w="2064"/>
        <w:gridCol w:w="2064"/>
        <w:gridCol w:w="2275"/>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30" w:type="dxa"/>
            <w:left w:w="30" w:type="dxa"/>
            <w:bottom w:w="30" w:type="dxa"/>
            <w:right w:w="30" w:type="dxa"/>
          </w:tblCellMar>
        </w:tblPrEx>
        <w:trPr>
          <w:trHeight w:val="583" w:hRule="atLeast"/>
          <w:jc w:val="center"/>
        </w:trPr>
        <w:tc>
          <w:tcPr>
            <w:tcW w:w="2063"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keepNext w:val="0"/>
              <w:keepLines w:val="0"/>
              <w:pageBreakBefore w:val="0"/>
              <w:suppressLineNumbers w:val="0"/>
              <w:shd w:val="clear"/>
              <w:kinsoku/>
              <w:wordWrap/>
              <w:overflowPunct/>
              <w:topLinePunct w:val="0"/>
              <w:autoSpaceDE/>
              <w:autoSpaceDN/>
              <w:bidi w:val="0"/>
              <w:spacing w:before="0" w:beforeAutospacing="0" w:after="0" w:afterAutospacing="0" w:line="500" w:lineRule="exact"/>
              <w:ind w:left="0" w:right="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一级指标</w:t>
            </w:r>
          </w:p>
        </w:tc>
        <w:tc>
          <w:tcPr>
            <w:tcW w:w="2064"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keepNext w:val="0"/>
              <w:keepLines w:val="0"/>
              <w:pageBreakBefore w:val="0"/>
              <w:suppressLineNumbers w:val="0"/>
              <w:shd w:val="clear"/>
              <w:kinsoku/>
              <w:wordWrap/>
              <w:overflowPunct/>
              <w:topLinePunct w:val="0"/>
              <w:autoSpaceDE/>
              <w:autoSpaceDN/>
              <w:bidi w:val="0"/>
              <w:spacing w:before="0" w:beforeAutospacing="0" w:after="0" w:afterAutospacing="0" w:line="500" w:lineRule="exact"/>
              <w:ind w:left="0" w:right="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指标分值</w:t>
            </w:r>
          </w:p>
        </w:tc>
        <w:tc>
          <w:tcPr>
            <w:tcW w:w="2064"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keepNext w:val="0"/>
              <w:keepLines w:val="0"/>
              <w:pageBreakBefore w:val="0"/>
              <w:suppressLineNumbers w:val="0"/>
              <w:shd w:val="clear"/>
              <w:kinsoku/>
              <w:wordWrap/>
              <w:overflowPunct/>
              <w:topLinePunct w:val="0"/>
              <w:autoSpaceDE/>
              <w:autoSpaceDN/>
              <w:bidi w:val="0"/>
              <w:spacing w:before="0" w:beforeAutospacing="0" w:after="0" w:afterAutospacing="0" w:line="500" w:lineRule="exact"/>
              <w:ind w:left="0" w:right="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自评得分</w:t>
            </w:r>
          </w:p>
        </w:tc>
        <w:tc>
          <w:tcPr>
            <w:tcW w:w="2275"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keepNext w:val="0"/>
              <w:keepLines w:val="0"/>
              <w:pageBreakBefore w:val="0"/>
              <w:suppressLineNumbers w:val="0"/>
              <w:shd w:val="clear"/>
              <w:kinsoku/>
              <w:wordWrap/>
              <w:overflowPunct/>
              <w:topLinePunct w:val="0"/>
              <w:autoSpaceDE/>
              <w:autoSpaceDN/>
              <w:bidi w:val="0"/>
              <w:spacing w:before="0" w:beforeAutospacing="0" w:after="0" w:afterAutospacing="0" w:line="500" w:lineRule="exact"/>
              <w:ind w:left="0" w:right="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得分率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564" w:hRule="atLeast"/>
          <w:jc w:val="center"/>
        </w:trPr>
        <w:tc>
          <w:tcPr>
            <w:tcW w:w="2063"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shd w:val="clear"/>
              <w:kinsoku/>
              <w:wordWrap/>
              <w:overflowPunct/>
              <w:topLinePunct w:val="0"/>
              <w:autoSpaceDE/>
              <w:autoSpaceDN/>
              <w:bidi w:val="0"/>
              <w:spacing w:before="75" w:beforeAutospacing="0" w:after="75" w:afterAutospacing="0" w:line="500" w:lineRule="exact"/>
              <w:ind w:left="0" w:right="0"/>
              <w:jc w:val="center"/>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产出</w:t>
            </w:r>
          </w:p>
        </w:tc>
        <w:tc>
          <w:tcPr>
            <w:tcW w:w="2064"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shd w:val="clear"/>
              <w:kinsoku/>
              <w:wordWrap/>
              <w:overflowPunct/>
              <w:topLinePunct w:val="0"/>
              <w:autoSpaceDE/>
              <w:autoSpaceDN/>
              <w:bidi w:val="0"/>
              <w:spacing w:before="75" w:beforeAutospacing="0" w:after="75" w:afterAutospacing="0" w:line="500" w:lineRule="exact"/>
              <w:ind w:left="0" w:right="0"/>
              <w:jc w:val="center"/>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30</w:t>
            </w:r>
          </w:p>
        </w:tc>
        <w:tc>
          <w:tcPr>
            <w:tcW w:w="2064"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shd w:val="clear"/>
              <w:kinsoku/>
              <w:wordWrap/>
              <w:overflowPunct/>
              <w:topLinePunct w:val="0"/>
              <w:autoSpaceDE/>
              <w:autoSpaceDN/>
              <w:bidi w:val="0"/>
              <w:spacing w:before="75" w:beforeAutospacing="0" w:after="75" w:afterAutospacing="0" w:line="500" w:lineRule="exact"/>
              <w:ind w:left="0" w:right="0"/>
              <w:jc w:val="center"/>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25</w:t>
            </w:r>
          </w:p>
        </w:tc>
        <w:tc>
          <w:tcPr>
            <w:tcW w:w="2275"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shd w:val="clear"/>
              <w:kinsoku/>
              <w:wordWrap/>
              <w:overflowPunct/>
              <w:topLinePunct w:val="0"/>
              <w:autoSpaceDE/>
              <w:autoSpaceDN/>
              <w:bidi w:val="0"/>
              <w:spacing w:before="75" w:beforeAutospacing="0" w:after="75" w:afterAutospacing="0" w:line="500" w:lineRule="exact"/>
              <w:ind w:left="0" w:right="0"/>
              <w:jc w:val="center"/>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83.33%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583" w:hRule="atLeast"/>
          <w:jc w:val="center"/>
        </w:trPr>
        <w:tc>
          <w:tcPr>
            <w:tcW w:w="2063"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shd w:val="clear"/>
              <w:kinsoku/>
              <w:wordWrap/>
              <w:overflowPunct/>
              <w:topLinePunct w:val="0"/>
              <w:autoSpaceDE/>
              <w:autoSpaceDN/>
              <w:bidi w:val="0"/>
              <w:spacing w:before="75" w:beforeAutospacing="0" w:after="75" w:afterAutospacing="0" w:line="500" w:lineRule="exact"/>
              <w:ind w:left="0" w:right="0"/>
              <w:jc w:val="center"/>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成本</w:t>
            </w:r>
          </w:p>
        </w:tc>
        <w:tc>
          <w:tcPr>
            <w:tcW w:w="2064"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shd w:val="clear"/>
              <w:kinsoku/>
              <w:wordWrap/>
              <w:overflowPunct/>
              <w:topLinePunct w:val="0"/>
              <w:autoSpaceDE/>
              <w:autoSpaceDN/>
              <w:bidi w:val="0"/>
              <w:spacing w:before="75" w:beforeAutospacing="0" w:after="75" w:afterAutospacing="0" w:line="500" w:lineRule="exact"/>
              <w:ind w:left="0" w:right="0"/>
              <w:jc w:val="center"/>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10</w:t>
            </w:r>
          </w:p>
        </w:tc>
        <w:tc>
          <w:tcPr>
            <w:tcW w:w="2064"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shd w:val="clear"/>
              <w:kinsoku/>
              <w:wordWrap/>
              <w:overflowPunct/>
              <w:topLinePunct w:val="0"/>
              <w:autoSpaceDE/>
              <w:autoSpaceDN/>
              <w:bidi w:val="0"/>
              <w:spacing w:before="75" w:beforeAutospacing="0" w:after="75" w:afterAutospacing="0" w:line="500" w:lineRule="exact"/>
              <w:ind w:left="0" w:right="0"/>
              <w:jc w:val="center"/>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7</w:t>
            </w:r>
          </w:p>
        </w:tc>
        <w:tc>
          <w:tcPr>
            <w:tcW w:w="2275"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shd w:val="clear"/>
              <w:kinsoku/>
              <w:wordWrap/>
              <w:overflowPunct/>
              <w:topLinePunct w:val="0"/>
              <w:autoSpaceDE/>
              <w:autoSpaceDN/>
              <w:bidi w:val="0"/>
              <w:spacing w:before="75" w:beforeAutospacing="0" w:after="75" w:afterAutospacing="0" w:line="500" w:lineRule="exact"/>
              <w:ind w:left="0" w:right="0"/>
              <w:jc w:val="center"/>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70%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583" w:hRule="atLeast"/>
          <w:jc w:val="center"/>
        </w:trPr>
        <w:tc>
          <w:tcPr>
            <w:tcW w:w="2063"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shd w:val="clear"/>
              <w:kinsoku/>
              <w:wordWrap/>
              <w:overflowPunct/>
              <w:topLinePunct w:val="0"/>
              <w:autoSpaceDE/>
              <w:autoSpaceDN/>
              <w:bidi w:val="0"/>
              <w:spacing w:before="75" w:beforeAutospacing="0" w:after="75" w:afterAutospacing="0" w:line="500" w:lineRule="exact"/>
              <w:ind w:left="0" w:right="0"/>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效益</w:t>
            </w:r>
          </w:p>
        </w:tc>
        <w:tc>
          <w:tcPr>
            <w:tcW w:w="2064"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shd w:val="clear"/>
              <w:kinsoku/>
              <w:wordWrap/>
              <w:overflowPunct/>
              <w:topLinePunct w:val="0"/>
              <w:autoSpaceDE/>
              <w:autoSpaceDN/>
              <w:bidi w:val="0"/>
              <w:spacing w:before="75" w:beforeAutospacing="0" w:after="75" w:afterAutospacing="0" w:line="500" w:lineRule="exact"/>
              <w:ind w:left="0" w:right="0"/>
              <w:jc w:val="center"/>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40</w:t>
            </w:r>
          </w:p>
        </w:tc>
        <w:tc>
          <w:tcPr>
            <w:tcW w:w="2064"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shd w:val="clear"/>
              <w:kinsoku/>
              <w:wordWrap/>
              <w:overflowPunct/>
              <w:topLinePunct w:val="0"/>
              <w:autoSpaceDE/>
              <w:autoSpaceDN/>
              <w:bidi w:val="0"/>
              <w:spacing w:before="75" w:beforeAutospacing="0" w:after="75" w:afterAutospacing="0" w:line="500" w:lineRule="exact"/>
              <w:ind w:left="0" w:right="0"/>
              <w:jc w:val="center"/>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40</w:t>
            </w:r>
          </w:p>
        </w:tc>
        <w:tc>
          <w:tcPr>
            <w:tcW w:w="2275"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shd w:val="clear"/>
              <w:kinsoku/>
              <w:wordWrap/>
              <w:overflowPunct/>
              <w:topLinePunct w:val="0"/>
              <w:autoSpaceDE/>
              <w:autoSpaceDN/>
              <w:bidi w:val="0"/>
              <w:spacing w:before="75" w:beforeAutospacing="0" w:after="75" w:afterAutospacing="0" w:line="500" w:lineRule="exact"/>
              <w:ind w:left="0" w:right="0"/>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100%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583" w:hRule="atLeast"/>
          <w:jc w:val="center"/>
        </w:trPr>
        <w:tc>
          <w:tcPr>
            <w:tcW w:w="2063"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shd w:val="clear"/>
              <w:kinsoku/>
              <w:wordWrap/>
              <w:overflowPunct/>
              <w:topLinePunct w:val="0"/>
              <w:autoSpaceDE/>
              <w:autoSpaceDN/>
              <w:bidi w:val="0"/>
              <w:spacing w:before="75" w:beforeAutospacing="0" w:after="75" w:afterAutospacing="0" w:line="500" w:lineRule="exact"/>
              <w:ind w:left="0" w:right="0"/>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满意度</w:t>
            </w:r>
          </w:p>
        </w:tc>
        <w:tc>
          <w:tcPr>
            <w:tcW w:w="2064"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shd w:val="clear"/>
              <w:kinsoku/>
              <w:wordWrap/>
              <w:overflowPunct/>
              <w:topLinePunct w:val="0"/>
              <w:autoSpaceDE/>
              <w:autoSpaceDN/>
              <w:bidi w:val="0"/>
              <w:spacing w:before="75" w:beforeAutospacing="0" w:after="75" w:afterAutospacing="0" w:line="500" w:lineRule="exact"/>
              <w:ind w:left="0" w:right="0"/>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10</w:t>
            </w:r>
          </w:p>
        </w:tc>
        <w:tc>
          <w:tcPr>
            <w:tcW w:w="2064"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shd w:val="clear"/>
              <w:kinsoku/>
              <w:wordWrap/>
              <w:overflowPunct/>
              <w:topLinePunct w:val="0"/>
              <w:autoSpaceDE/>
              <w:autoSpaceDN/>
              <w:bidi w:val="0"/>
              <w:spacing w:before="75" w:beforeAutospacing="0" w:after="75" w:afterAutospacing="0" w:line="500" w:lineRule="exact"/>
              <w:ind w:left="0" w:right="0"/>
              <w:jc w:val="center"/>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10</w:t>
            </w:r>
          </w:p>
        </w:tc>
        <w:tc>
          <w:tcPr>
            <w:tcW w:w="2275"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shd w:val="clear"/>
              <w:kinsoku/>
              <w:wordWrap/>
              <w:overflowPunct/>
              <w:topLinePunct w:val="0"/>
              <w:autoSpaceDE/>
              <w:autoSpaceDN/>
              <w:bidi w:val="0"/>
              <w:spacing w:before="75" w:beforeAutospacing="0" w:after="75" w:afterAutospacing="0" w:line="500" w:lineRule="exact"/>
              <w:ind w:left="0" w:right="0"/>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10</w:t>
            </w:r>
            <w:r>
              <w:rPr>
                <w:rFonts w:hint="eastAsia" w:ascii="仿宋_GB2312" w:hAnsi="仿宋_GB2312" w:eastAsia="仿宋_GB2312" w:cs="仿宋_GB2312"/>
                <w:color w:val="auto"/>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583" w:hRule="atLeast"/>
          <w:jc w:val="center"/>
        </w:trPr>
        <w:tc>
          <w:tcPr>
            <w:tcW w:w="2063"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shd w:val="clear"/>
              <w:kinsoku/>
              <w:wordWrap/>
              <w:overflowPunct/>
              <w:topLinePunct w:val="0"/>
              <w:autoSpaceDE/>
              <w:autoSpaceDN/>
              <w:bidi w:val="0"/>
              <w:spacing w:before="75" w:beforeAutospacing="0" w:after="75" w:afterAutospacing="0" w:line="500" w:lineRule="exact"/>
              <w:ind w:left="0" w:right="0"/>
              <w:jc w:val="center"/>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执行</w:t>
            </w:r>
          </w:p>
        </w:tc>
        <w:tc>
          <w:tcPr>
            <w:tcW w:w="2064"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shd w:val="clear"/>
              <w:kinsoku/>
              <w:wordWrap/>
              <w:overflowPunct/>
              <w:topLinePunct w:val="0"/>
              <w:autoSpaceDE/>
              <w:autoSpaceDN/>
              <w:bidi w:val="0"/>
              <w:spacing w:before="75" w:beforeAutospacing="0" w:after="75" w:afterAutospacing="0" w:line="500" w:lineRule="exact"/>
              <w:ind w:left="0" w:right="0"/>
              <w:jc w:val="center"/>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10</w:t>
            </w:r>
          </w:p>
        </w:tc>
        <w:tc>
          <w:tcPr>
            <w:tcW w:w="2064"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shd w:val="clear"/>
              <w:kinsoku/>
              <w:wordWrap/>
              <w:overflowPunct/>
              <w:topLinePunct w:val="0"/>
              <w:autoSpaceDE/>
              <w:autoSpaceDN/>
              <w:bidi w:val="0"/>
              <w:spacing w:before="75" w:beforeAutospacing="0" w:after="75" w:afterAutospacing="0" w:line="500" w:lineRule="exact"/>
              <w:ind w:left="0" w:right="0"/>
              <w:jc w:val="center"/>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8.35</w:t>
            </w:r>
          </w:p>
        </w:tc>
        <w:tc>
          <w:tcPr>
            <w:tcW w:w="2275"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shd w:val="clear"/>
              <w:kinsoku/>
              <w:wordWrap/>
              <w:overflowPunct/>
              <w:topLinePunct w:val="0"/>
              <w:autoSpaceDE/>
              <w:autoSpaceDN/>
              <w:bidi w:val="0"/>
              <w:spacing w:before="75" w:beforeAutospacing="0" w:after="75" w:afterAutospacing="0" w:line="500" w:lineRule="exact"/>
              <w:ind w:left="0" w:right="0"/>
              <w:jc w:val="center"/>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83.5%</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583" w:hRule="atLeast"/>
          <w:jc w:val="center"/>
        </w:trPr>
        <w:tc>
          <w:tcPr>
            <w:tcW w:w="2063"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shd w:val="clear"/>
              <w:kinsoku/>
              <w:wordWrap/>
              <w:overflowPunct/>
              <w:topLinePunct w:val="0"/>
              <w:autoSpaceDE/>
              <w:autoSpaceDN/>
              <w:bidi w:val="0"/>
              <w:spacing w:before="75" w:beforeAutospacing="0" w:after="75" w:afterAutospacing="0" w:line="500" w:lineRule="exact"/>
              <w:ind w:left="0" w:right="0"/>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合计</w:t>
            </w:r>
          </w:p>
        </w:tc>
        <w:tc>
          <w:tcPr>
            <w:tcW w:w="2064"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shd w:val="clear"/>
              <w:kinsoku/>
              <w:wordWrap/>
              <w:overflowPunct/>
              <w:topLinePunct w:val="0"/>
              <w:autoSpaceDE/>
              <w:autoSpaceDN/>
              <w:bidi w:val="0"/>
              <w:spacing w:before="75" w:beforeAutospacing="0" w:after="75" w:afterAutospacing="0" w:line="500" w:lineRule="exact"/>
              <w:ind w:left="0" w:right="0"/>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100</w:t>
            </w:r>
          </w:p>
        </w:tc>
        <w:tc>
          <w:tcPr>
            <w:tcW w:w="2064"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shd w:val="clear"/>
              <w:kinsoku/>
              <w:wordWrap/>
              <w:overflowPunct/>
              <w:topLinePunct w:val="0"/>
              <w:autoSpaceDE/>
              <w:autoSpaceDN/>
              <w:bidi w:val="0"/>
              <w:spacing w:before="75" w:beforeAutospacing="0" w:after="75" w:afterAutospacing="0" w:line="500" w:lineRule="exact"/>
              <w:ind w:left="0" w:right="0"/>
              <w:jc w:val="center"/>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90.35</w:t>
            </w:r>
          </w:p>
        </w:tc>
        <w:tc>
          <w:tcPr>
            <w:tcW w:w="2275"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shd w:val="clear"/>
              <w:kinsoku/>
              <w:wordWrap/>
              <w:overflowPunct/>
              <w:topLinePunct w:val="0"/>
              <w:autoSpaceDE/>
              <w:autoSpaceDN/>
              <w:bidi w:val="0"/>
              <w:spacing w:before="75" w:beforeAutospacing="0" w:after="75" w:afterAutospacing="0" w:line="500" w:lineRule="exact"/>
              <w:ind w:left="0" w:right="0"/>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90.35</w:t>
            </w:r>
            <w:r>
              <w:rPr>
                <w:rFonts w:hint="eastAsia" w:ascii="仿宋_GB2312" w:hAnsi="仿宋_GB2312" w:eastAsia="仿宋_GB2312" w:cs="仿宋_GB2312"/>
                <w:color w:val="auto"/>
                <w:kern w:val="0"/>
                <w:sz w:val="32"/>
                <w:szCs w:val="32"/>
              </w:rPr>
              <w:t>%</w:t>
            </w:r>
          </w:p>
        </w:tc>
      </w:tr>
    </w:tbl>
    <w:p>
      <w:pPr>
        <w:pStyle w:val="8"/>
        <w:keepNext w:val="0"/>
        <w:keepLines w:val="0"/>
        <w:pageBreakBefore w:val="0"/>
        <w:widowControl/>
        <w:shd w:val="clear"/>
        <w:kinsoku/>
        <w:wordWrap/>
        <w:overflowPunct/>
        <w:topLinePunct w:val="0"/>
        <w:autoSpaceDE/>
        <w:autoSpaceDN/>
        <w:bidi w:val="0"/>
        <w:spacing w:before="315" w:beforeAutospacing="0" w:after="75" w:afterAutospacing="0" w:line="5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rPr>
        <w:t>（二）部门整体支出绩效目标实现情况</w:t>
      </w:r>
    </w:p>
    <w:p>
      <w:pPr>
        <w:keepNext w:val="0"/>
        <w:keepLines w:val="0"/>
        <w:pageBreakBefore w:val="0"/>
        <w:shd w:val="clear"/>
        <w:kinsoku/>
        <w:wordWrap/>
        <w:overflowPunct/>
        <w:topLinePunct w:val="0"/>
        <w:autoSpaceDE/>
        <w:autoSpaceDN/>
        <w:bidi w:val="0"/>
        <w:spacing w:line="50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1、预算执行率(10分，得</w:t>
      </w:r>
      <w:r>
        <w:rPr>
          <w:rFonts w:hint="eastAsia" w:ascii="仿宋_GB2312" w:hAnsi="仿宋_GB2312" w:eastAsia="仿宋_GB2312" w:cs="仿宋_GB2312"/>
          <w:b/>
          <w:bCs/>
          <w:color w:val="auto"/>
          <w:sz w:val="32"/>
          <w:szCs w:val="32"/>
          <w:lang w:val="en-US" w:eastAsia="zh-CN"/>
        </w:rPr>
        <w:t>8.35</w:t>
      </w:r>
      <w:r>
        <w:rPr>
          <w:rFonts w:hint="eastAsia" w:ascii="仿宋_GB2312" w:hAnsi="仿宋_GB2312" w:eastAsia="仿宋_GB2312" w:cs="仿宋_GB2312"/>
          <w:b/>
          <w:bCs/>
          <w:color w:val="auto"/>
          <w:sz w:val="32"/>
          <w:szCs w:val="32"/>
        </w:rPr>
        <w:t>分，扣</w:t>
      </w:r>
      <w:r>
        <w:rPr>
          <w:rFonts w:hint="eastAsia" w:ascii="仿宋_GB2312" w:hAnsi="仿宋_GB2312" w:eastAsia="仿宋_GB2312" w:cs="仿宋_GB2312"/>
          <w:b/>
          <w:bCs/>
          <w:color w:val="auto"/>
          <w:sz w:val="32"/>
          <w:szCs w:val="32"/>
          <w:lang w:val="en-US" w:eastAsia="zh-CN"/>
        </w:rPr>
        <w:t>1.65</w:t>
      </w:r>
      <w:r>
        <w:rPr>
          <w:rFonts w:hint="eastAsia" w:ascii="仿宋_GB2312" w:hAnsi="仿宋_GB2312" w:eastAsia="仿宋_GB2312" w:cs="仿宋_GB2312"/>
          <w:b/>
          <w:bCs/>
          <w:color w:val="auto"/>
          <w:sz w:val="32"/>
          <w:szCs w:val="32"/>
        </w:rPr>
        <w:t>分）</w:t>
      </w:r>
    </w:p>
    <w:p>
      <w:pPr>
        <w:keepNext w:val="0"/>
        <w:keepLines w:val="0"/>
        <w:pageBreakBefore w:val="0"/>
        <w:shd w:val="clear"/>
        <w:kinsoku/>
        <w:wordWrap/>
        <w:overflowPunct/>
        <w:topLinePunct w:val="0"/>
        <w:autoSpaceDE/>
        <w:autoSpaceDN/>
        <w:bidi w:val="0"/>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全年预算数</w:t>
      </w:r>
      <w:r>
        <w:rPr>
          <w:rFonts w:hint="eastAsia" w:ascii="仿宋_GB2312" w:hAnsi="仿宋_GB2312" w:eastAsia="仿宋_GB2312" w:cs="仿宋_GB2312"/>
          <w:color w:val="auto"/>
          <w:sz w:val="32"/>
          <w:szCs w:val="32"/>
          <w:lang w:val="en-US" w:eastAsia="zh-CN"/>
        </w:rPr>
        <w:t>3626.9</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全年执行数</w:t>
      </w:r>
      <w:r>
        <w:rPr>
          <w:rFonts w:hint="eastAsia" w:ascii="仿宋_GB2312" w:hAnsi="仿宋_GB2312" w:eastAsia="仿宋_GB2312" w:cs="仿宋_GB2312"/>
          <w:color w:val="auto"/>
          <w:sz w:val="32"/>
          <w:szCs w:val="32"/>
          <w:lang w:val="en-US" w:eastAsia="zh-CN"/>
        </w:rPr>
        <w:t>3028.07</w:t>
      </w:r>
      <w:r>
        <w:rPr>
          <w:rFonts w:hint="eastAsia" w:ascii="仿宋_GB2312" w:hAnsi="仿宋_GB2312" w:eastAsia="仿宋_GB2312" w:cs="仿宋_GB2312"/>
          <w:color w:val="auto"/>
          <w:sz w:val="32"/>
          <w:szCs w:val="32"/>
        </w:rPr>
        <w:t>万元，预算执行率</w:t>
      </w:r>
      <w:r>
        <w:rPr>
          <w:rFonts w:hint="eastAsia" w:ascii="仿宋_GB2312" w:hAnsi="仿宋_GB2312" w:eastAsia="仿宋_GB2312" w:cs="仿宋_GB2312"/>
          <w:color w:val="auto"/>
          <w:sz w:val="32"/>
          <w:szCs w:val="32"/>
          <w:lang w:val="en-US" w:eastAsia="zh-CN"/>
        </w:rPr>
        <w:t>83.48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，得</w:t>
      </w:r>
      <w:r>
        <w:rPr>
          <w:rFonts w:hint="eastAsia" w:ascii="仿宋_GB2312" w:hAnsi="仿宋_GB2312" w:eastAsia="仿宋_GB2312" w:cs="仿宋_GB2312"/>
          <w:color w:val="auto"/>
          <w:sz w:val="32"/>
          <w:szCs w:val="32"/>
          <w:lang w:val="en-US" w:eastAsia="zh-CN"/>
        </w:rPr>
        <w:t>8.35分</w:t>
      </w:r>
      <w:r>
        <w:rPr>
          <w:rFonts w:hint="eastAsia" w:ascii="仿宋_GB2312" w:hAnsi="仿宋_GB2312" w:eastAsia="仿宋_GB2312" w:cs="仿宋_GB2312"/>
          <w:color w:val="auto"/>
          <w:sz w:val="32"/>
          <w:szCs w:val="32"/>
        </w:rPr>
        <w:t>。</w:t>
      </w:r>
    </w:p>
    <w:p>
      <w:pPr>
        <w:keepNext w:val="0"/>
        <w:keepLines w:val="0"/>
        <w:pageBreakBefore w:val="0"/>
        <w:shd w:val="clear"/>
        <w:kinsoku/>
        <w:wordWrap/>
        <w:overflowPunct/>
        <w:topLinePunct w:val="0"/>
        <w:autoSpaceDE/>
        <w:autoSpaceDN/>
        <w:bidi w:val="0"/>
        <w:spacing w:line="50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产出指标(</w:t>
      </w:r>
      <w:r>
        <w:rPr>
          <w:rFonts w:hint="eastAsia" w:ascii="仿宋_GB2312" w:hAnsi="仿宋_GB2312" w:eastAsia="仿宋_GB2312" w:cs="仿宋_GB2312"/>
          <w:b/>
          <w:bCs/>
          <w:color w:val="auto"/>
          <w:sz w:val="32"/>
          <w:szCs w:val="32"/>
          <w:lang w:val="en-US" w:eastAsia="zh-CN"/>
        </w:rPr>
        <w:t>30</w:t>
      </w:r>
      <w:r>
        <w:rPr>
          <w:rFonts w:hint="eastAsia" w:ascii="仿宋_GB2312" w:hAnsi="仿宋_GB2312" w:eastAsia="仿宋_GB2312" w:cs="仿宋_GB2312"/>
          <w:b/>
          <w:bCs/>
          <w:color w:val="auto"/>
          <w:sz w:val="32"/>
          <w:szCs w:val="32"/>
        </w:rPr>
        <w:t>分，得</w:t>
      </w:r>
      <w:r>
        <w:rPr>
          <w:rFonts w:hint="eastAsia" w:ascii="仿宋_GB2312" w:hAnsi="仿宋_GB2312" w:eastAsia="仿宋_GB2312" w:cs="仿宋_GB2312"/>
          <w:b/>
          <w:bCs/>
          <w:color w:val="auto"/>
          <w:sz w:val="32"/>
          <w:szCs w:val="32"/>
          <w:lang w:val="en-US" w:eastAsia="zh-CN"/>
        </w:rPr>
        <w:t>25</w:t>
      </w:r>
      <w:r>
        <w:rPr>
          <w:rFonts w:hint="eastAsia" w:ascii="仿宋_GB2312" w:hAnsi="仿宋_GB2312" w:eastAsia="仿宋_GB2312" w:cs="仿宋_GB2312"/>
          <w:b/>
          <w:bCs/>
          <w:color w:val="auto"/>
          <w:sz w:val="32"/>
          <w:szCs w:val="32"/>
        </w:rPr>
        <w:t>分，扣</w:t>
      </w: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分)</w:t>
      </w:r>
    </w:p>
    <w:p>
      <w:pPr>
        <w:keepNext w:val="0"/>
        <w:keepLines w:val="0"/>
        <w:pageBreakBefore w:val="0"/>
        <w:shd w:val="clear"/>
        <w:kinsoku/>
        <w:wordWrap/>
        <w:overflowPunct/>
        <w:topLinePunct w:val="0"/>
        <w:autoSpaceDE/>
        <w:autoSpaceDN/>
        <w:bidi w:val="0"/>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.1数量指标(</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分，得</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分，扣</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分)</w:t>
      </w:r>
    </w:p>
    <w:p>
      <w:pPr>
        <w:keepNext w:val="0"/>
        <w:keepLines w:val="0"/>
        <w:pageBreakBefore w:val="0"/>
        <w:shd w:val="clear"/>
        <w:kinsoku/>
        <w:wordWrap/>
        <w:overflowPunct/>
        <w:topLinePunct w:val="0"/>
        <w:autoSpaceDE/>
        <w:autoSpaceDN/>
        <w:bidi w:val="0"/>
        <w:spacing w:line="500" w:lineRule="exact"/>
        <w:outlineLvl w:val="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 xml:space="preserve">   （1）编制可研报告</w:t>
      </w:r>
      <w:r>
        <w:rPr>
          <w:rFonts w:hint="eastAsia" w:ascii="仿宋_GB2312" w:hAnsi="仿宋_GB2312" w:eastAsia="仿宋_GB2312" w:cs="仿宋_GB2312"/>
          <w:bCs/>
          <w:color w:val="auto"/>
          <w:sz w:val="32"/>
          <w:szCs w:val="32"/>
          <w:lang w:val="en-US" w:eastAsia="zh-CN"/>
        </w:rPr>
        <w:t>20个</w:t>
      </w:r>
      <w:r>
        <w:rPr>
          <w:rFonts w:hint="eastAsia" w:ascii="仿宋_GB2312" w:hAnsi="仿宋_GB2312" w:eastAsia="仿宋_GB2312" w:cs="仿宋_GB2312"/>
          <w:bCs/>
          <w:color w:val="auto"/>
          <w:sz w:val="32"/>
          <w:szCs w:val="32"/>
          <w:lang w:eastAsia="zh-CN"/>
        </w:rPr>
        <w:t>，得</w:t>
      </w:r>
      <w:r>
        <w:rPr>
          <w:rFonts w:hint="eastAsia" w:ascii="仿宋_GB2312" w:hAnsi="仿宋_GB2312" w:eastAsia="仿宋_GB2312" w:cs="仿宋_GB2312"/>
          <w:bCs/>
          <w:color w:val="auto"/>
          <w:sz w:val="32"/>
          <w:szCs w:val="32"/>
          <w:lang w:val="en-US" w:eastAsia="zh-CN"/>
        </w:rPr>
        <w:t>5分</w:t>
      </w:r>
      <w:r>
        <w:rPr>
          <w:rFonts w:hint="eastAsia" w:ascii="仿宋_GB2312" w:hAnsi="仿宋_GB2312" w:eastAsia="仿宋_GB2312" w:cs="仿宋_GB2312"/>
          <w:bCs/>
          <w:color w:val="auto"/>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Cs/>
          <w:color w:val="auto"/>
          <w:sz w:val="32"/>
          <w:szCs w:val="32"/>
        </w:rPr>
        <w:t>（2）</w:t>
      </w:r>
      <w:r>
        <w:rPr>
          <w:rFonts w:hint="eastAsia" w:ascii="仿宋_GB2312" w:hAnsi="仿宋_GB2312" w:eastAsia="仿宋_GB2312" w:cs="仿宋_GB2312"/>
          <w:color w:val="auto"/>
          <w:kern w:val="0"/>
          <w:sz w:val="32"/>
          <w:szCs w:val="32"/>
        </w:rPr>
        <w:t>开展粮食、食品安全宣传次数</w:t>
      </w:r>
      <w:r>
        <w:rPr>
          <w:rFonts w:hint="eastAsia" w:ascii="仿宋_GB2312" w:hAnsi="仿宋_GB2312" w:eastAsia="仿宋_GB2312" w:cs="仿宋_GB2312"/>
          <w:bCs/>
          <w:color w:val="auto"/>
          <w:kern w:val="0"/>
          <w:sz w:val="32"/>
          <w:szCs w:val="32"/>
          <w:lang w:val="en-US" w:eastAsia="zh-CN"/>
        </w:rPr>
        <w:t>2次，得5分。</w:t>
      </w:r>
    </w:p>
    <w:p>
      <w:pPr>
        <w:pStyle w:val="2"/>
        <w:keepNext w:val="0"/>
        <w:keepLines w:val="0"/>
        <w:pageBreakBefore w:val="0"/>
        <w:kinsoku/>
        <w:wordWrap/>
        <w:overflowPunct/>
        <w:topLinePunct w:val="0"/>
        <w:autoSpaceDE/>
        <w:autoSpaceDN/>
        <w:bidi w:val="0"/>
        <w:spacing w:line="50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2.2质量指标（10分，得5分，扣5分）</w:t>
      </w:r>
    </w:p>
    <w:p>
      <w:pPr>
        <w:keepNext w:val="0"/>
        <w:keepLines w:val="0"/>
        <w:pageBreakBefore w:val="0"/>
        <w:kinsoku/>
        <w:wordWrap/>
        <w:overflowPunct/>
        <w:topLinePunct w:val="0"/>
        <w:autoSpaceDE/>
        <w:autoSpaceDN/>
        <w:bidi w:val="0"/>
        <w:spacing w:line="5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全社会固定资产投资增长率</w:t>
      </w:r>
      <w:r>
        <w:rPr>
          <w:rFonts w:hint="eastAsia" w:ascii="仿宋_GB2312" w:hAnsi="仿宋_GB2312" w:eastAsia="仿宋_GB2312" w:cs="仿宋_GB2312"/>
          <w:sz w:val="32"/>
          <w:szCs w:val="32"/>
          <w:lang w:val="en-US" w:eastAsia="zh-CN"/>
        </w:rPr>
        <w:t>未完成10%的增长，考虑到全市整体经济形势，得5分。</w:t>
      </w:r>
    </w:p>
    <w:p>
      <w:pPr>
        <w:pStyle w:val="2"/>
        <w:keepNext w:val="0"/>
        <w:keepLines w:val="0"/>
        <w:pageBreakBefore w:val="0"/>
        <w:kinsoku/>
        <w:wordWrap/>
        <w:overflowPunct/>
        <w:topLinePunct w:val="0"/>
        <w:autoSpaceDE/>
        <w:autoSpaceDN/>
        <w:bidi w:val="0"/>
        <w:spacing w:line="500" w:lineRule="exact"/>
        <w:ind w:left="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2.3时效指标（10分，得10分，扣0分）</w:t>
      </w:r>
    </w:p>
    <w:p>
      <w:pPr>
        <w:keepNext w:val="0"/>
        <w:keepLines w:val="0"/>
        <w:pageBreakBefore w:val="0"/>
        <w:shd w:val="clear"/>
        <w:kinsoku/>
        <w:wordWrap/>
        <w:overflowPunct/>
        <w:topLinePunct w:val="0"/>
        <w:autoSpaceDE/>
        <w:autoSpaceDN/>
        <w:bidi w:val="0"/>
        <w:spacing w:line="500" w:lineRule="exact"/>
        <w:ind w:firstLine="640" w:firstLineChars="200"/>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及时完成重点工作，</w:t>
      </w:r>
      <w:r>
        <w:rPr>
          <w:rFonts w:hint="eastAsia" w:ascii="仿宋_GB2312" w:hAnsi="仿宋_GB2312" w:eastAsia="仿宋_GB2312" w:cs="仿宋_GB2312"/>
          <w:b w:val="0"/>
          <w:bCs w:val="0"/>
          <w:color w:val="auto"/>
          <w:kern w:val="2"/>
          <w:sz w:val="32"/>
          <w:szCs w:val="32"/>
          <w:lang w:val="en-US" w:eastAsia="zh-CN" w:bidi="ar-SA"/>
        </w:rPr>
        <w:t>坚持发展实体经济，特色优势产业提质增效；坚持有效扩大内需，经济发展内生动力增强；坚持统筹区域发展，城乡一体化加快推进；坚持深化改革创新，发展新动能进一步聚集；坚持强化民生保障，人民生活品质不断提高，</w:t>
      </w:r>
      <w:r>
        <w:rPr>
          <w:rFonts w:hint="eastAsia" w:ascii="仿宋_GB2312" w:hAnsi="仿宋_GB2312" w:eastAsia="仿宋_GB2312" w:cs="仿宋_GB2312"/>
          <w:sz w:val="32"/>
          <w:szCs w:val="32"/>
          <w:lang w:val="en-US" w:eastAsia="zh-CN"/>
        </w:rPr>
        <w:t>得10分。</w:t>
      </w:r>
    </w:p>
    <w:p>
      <w:pPr>
        <w:keepNext w:val="0"/>
        <w:keepLines w:val="0"/>
        <w:pageBreakBefore w:val="0"/>
        <w:shd w:val="clear"/>
        <w:kinsoku/>
        <w:wordWrap/>
        <w:overflowPunct/>
        <w:topLinePunct w:val="0"/>
        <w:autoSpaceDE/>
        <w:autoSpaceDN/>
        <w:bidi w:val="0"/>
        <w:spacing w:line="50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效益</w:t>
      </w:r>
      <w:r>
        <w:rPr>
          <w:rFonts w:hint="eastAsia" w:ascii="仿宋_GB2312" w:hAnsi="仿宋_GB2312" w:eastAsia="仿宋_GB2312" w:cs="仿宋_GB2312"/>
          <w:b/>
          <w:bCs/>
          <w:color w:val="auto"/>
          <w:sz w:val="32"/>
          <w:szCs w:val="32"/>
        </w:rPr>
        <w:t>指标(</w:t>
      </w:r>
      <w:r>
        <w:rPr>
          <w:rFonts w:hint="eastAsia" w:ascii="仿宋_GB2312" w:hAnsi="仿宋_GB2312" w:eastAsia="仿宋_GB2312" w:cs="仿宋_GB2312"/>
          <w:b/>
          <w:bCs/>
          <w:color w:val="auto"/>
          <w:sz w:val="32"/>
          <w:szCs w:val="32"/>
          <w:lang w:val="en-US" w:eastAsia="zh-CN"/>
        </w:rPr>
        <w:t>40</w:t>
      </w:r>
      <w:r>
        <w:rPr>
          <w:rFonts w:hint="eastAsia" w:ascii="仿宋_GB2312" w:hAnsi="仿宋_GB2312" w:eastAsia="仿宋_GB2312" w:cs="仿宋_GB2312"/>
          <w:b/>
          <w:bCs/>
          <w:color w:val="auto"/>
          <w:sz w:val="32"/>
          <w:szCs w:val="32"/>
        </w:rPr>
        <w:t>分，得</w:t>
      </w:r>
      <w:r>
        <w:rPr>
          <w:rFonts w:hint="eastAsia" w:ascii="仿宋_GB2312" w:hAnsi="仿宋_GB2312" w:eastAsia="仿宋_GB2312" w:cs="仿宋_GB2312"/>
          <w:b/>
          <w:bCs/>
          <w:color w:val="auto"/>
          <w:sz w:val="32"/>
          <w:szCs w:val="32"/>
          <w:lang w:val="en-US" w:eastAsia="zh-CN"/>
        </w:rPr>
        <w:t>40</w:t>
      </w:r>
      <w:r>
        <w:rPr>
          <w:rFonts w:hint="eastAsia" w:ascii="仿宋_GB2312" w:hAnsi="仿宋_GB2312" w:eastAsia="仿宋_GB2312" w:cs="仿宋_GB2312"/>
          <w:b/>
          <w:bCs/>
          <w:color w:val="auto"/>
          <w:sz w:val="32"/>
          <w:szCs w:val="32"/>
        </w:rPr>
        <w:t>分，扣0分)</w:t>
      </w:r>
    </w:p>
    <w:p>
      <w:pPr>
        <w:keepNext w:val="0"/>
        <w:keepLines w:val="0"/>
        <w:pageBreakBefore w:val="0"/>
        <w:shd w:val="clear"/>
        <w:kinsoku/>
        <w:wordWrap/>
        <w:overflowPunct/>
        <w:topLinePunct w:val="0"/>
        <w:autoSpaceDE/>
        <w:autoSpaceDN/>
        <w:bidi w:val="0"/>
        <w:spacing w:line="5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3.1经济效益指标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10分，得10分，扣0分</w:t>
      </w:r>
      <w:r>
        <w:rPr>
          <w:rFonts w:hint="eastAsia" w:ascii="仿宋_GB2312" w:hAnsi="仿宋_GB2312" w:eastAsia="仿宋_GB2312" w:cs="仿宋_GB2312"/>
          <w:color w:val="auto"/>
          <w:sz w:val="32"/>
          <w:szCs w:val="32"/>
          <w:lang w:eastAsia="zh-CN"/>
        </w:rPr>
        <w:t>）</w:t>
      </w:r>
    </w:p>
    <w:p>
      <w:pPr>
        <w:keepNext w:val="0"/>
        <w:keepLines w:val="0"/>
        <w:pageBreakBefore w:val="0"/>
        <w:shd w:val="clear"/>
        <w:kinsoku/>
        <w:wordWrap/>
        <w:overflowPunct/>
        <w:topLinePunct w:val="0"/>
        <w:autoSpaceDE/>
        <w:autoSpaceDN/>
        <w:bidi w:val="0"/>
        <w:spacing w:line="500" w:lineRule="exact"/>
        <w:ind w:firstLine="640" w:firstLineChars="200"/>
        <w:outlineLvl w:val="0"/>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color w:val="auto"/>
          <w:kern w:val="0"/>
          <w:sz w:val="32"/>
          <w:szCs w:val="32"/>
          <w:lang w:val="en-US" w:eastAsia="zh-CN" w:bidi="ar"/>
        </w:rPr>
        <w:t>及时对照梳理国省存量、增量政策，重点围绕明年继续发行的超长期特别国债、提前下达的1000亿元中央预算内投资计划和1000亿元“两重”建设项目清单、持续3年的地方政府专项债券年均2万亿置换供给以及支持包括用于收储闲置开发土地和用于保障性住房购置商品房开发存量房两种专项债券的发行等资金政策，包装完善项目，积极争资上项，力争获得上级资金支持较2024年有提升</w:t>
      </w:r>
      <w:r>
        <w:rPr>
          <w:rFonts w:hint="eastAsia" w:ascii="仿宋_GB2312" w:hAnsi="仿宋_GB2312" w:eastAsia="仿宋_GB2312" w:cs="仿宋_GB2312"/>
          <w:color w:val="auto"/>
          <w:kern w:val="0"/>
          <w:sz w:val="32"/>
          <w:szCs w:val="32"/>
          <w:lang w:eastAsia="zh-CN"/>
        </w:rPr>
        <w:t>，得</w:t>
      </w:r>
      <w:r>
        <w:rPr>
          <w:rFonts w:hint="eastAsia" w:ascii="仿宋_GB2312" w:hAnsi="仿宋_GB2312" w:eastAsia="仿宋_GB2312" w:cs="仿宋_GB2312"/>
          <w:color w:val="auto"/>
          <w:kern w:val="0"/>
          <w:sz w:val="32"/>
          <w:szCs w:val="32"/>
          <w:lang w:val="en-US" w:eastAsia="zh-CN"/>
        </w:rPr>
        <w:t>10分。</w:t>
      </w:r>
    </w:p>
    <w:p>
      <w:pPr>
        <w:pStyle w:val="7"/>
        <w:keepNext w:val="0"/>
        <w:keepLines w:val="0"/>
        <w:pageBreakBefore w:val="0"/>
        <w:shd w:val="clear"/>
        <w:kinsoku/>
        <w:wordWrap/>
        <w:overflowPunct/>
        <w:topLinePunct w:val="0"/>
        <w:autoSpaceDE/>
        <w:autoSpaceDN/>
        <w:bidi w:val="0"/>
        <w:spacing w:line="5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3.2社会效益指标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20分，得20分，扣0分</w:t>
      </w:r>
      <w:r>
        <w:rPr>
          <w:rFonts w:hint="eastAsia" w:ascii="仿宋_GB2312" w:hAnsi="仿宋_GB2312" w:eastAsia="仿宋_GB2312" w:cs="仿宋_GB2312"/>
          <w:color w:val="auto"/>
          <w:sz w:val="32"/>
          <w:szCs w:val="32"/>
          <w:lang w:eastAsia="zh-CN"/>
        </w:rPr>
        <w:t>）</w:t>
      </w:r>
    </w:p>
    <w:p>
      <w:pPr>
        <w:keepNext w:val="0"/>
        <w:keepLines w:val="0"/>
        <w:pageBreakBefore w:val="0"/>
        <w:numPr>
          <w:ilvl w:val="0"/>
          <w:numId w:val="4"/>
        </w:numPr>
        <w:shd w:val="clear"/>
        <w:kinsoku/>
        <w:wordWrap/>
        <w:overflowPunct/>
        <w:topLinePunct w:val="0"/>
        <w:autoSpaceDE/>
        <w:autoSpaceDN/>
        <w:bidi w:val="0"/>
        <w:spacing w:line="500" w:lineRule="exact"/>
        <w:ind w:firstLine="640" w:firstLineChars="200"/>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eastAsia="zh-CN"/>
        </w:rPr>
        <w:t>粮食安全有保障较高，</w:t>
      </w:r>
      <w:r>
        <w:rPr>
          <w:rFonts w:hint="eastAsia" w:ascii="仿宋_GB2312" w:hAnsi="仿宋_GB2312" w:eastAsia="仿宋_GB2312" w:cs="仿宋_GB2312"/>
          <w:b w:val="0"/>
          <w:bCs w:val="0"/>
          <w:i w:val="0"/>
          <w:iCs w:val="0"/>
          <w:kern w:val="2"/>
          <w:sz w:val="32"/>
          <w:szCs w:val="32"/>
          <w:lang w:val="en-US" w:eastAsia="zh-CN" w:bidi="ar"/>
        </w:rPr>
        <w:t>认真落实好国家粮食收购政策，积极行使好粮食行政主管部门职能作用，组织和指导、督促国有粮食企业发挥好储备作用，积极开展秋粮收购入库前的各项准备工作，坚决执行最低粮食收购价政策，坚持以质论价，不压级压价，损害农民利益。</w:t>
      </w:r>
      <w:r>
        <w:rPr>
          <w:rFonts w:hint="eastAsia" w:ascii="仿宋_GB2312" w:hAnsi="仿宋_GB2312" w:eastAsia="仿宋_GB2312" w:cs="仿宋_GB2312"/>
          <w:color w:val="auto"/>
          <w:sz w:val="32"/>
          <w:szCs w:val="32"/>
          <w:shd w:val="clear" w:color="auto" w:fill="FFFFFF"/>
          <w:lang w:eastAsia="zh-CN"/>
        </w:rPr>
        <w:t>得</w:t>
      </w:r>
      <w:r>
        <w:rPr>
          <w:rFonts w:hint="eastAsia" w:ascii="仿宋_GB2312" w:hAnsi="仿宋_GB2312" w:eastAsia="仿宋_GB2312" w:cs="仿宋_GB2312"/>
          <w:color w:val="auto"/>
          <w:sz w:val="32"/>
          <w:szCs w:val="32"/>
          <w:shd w:val="clear" w:color="auto" w:fill="FFFFFF"/>
          <w:lang w:val="en-US" w:eastAsia="zh-CN"/>
        </w:rPr>
        <w:t>10分。</w:t>
      </w:r>
    </w:p>
    <w:p>
      <w:pPr>
        <w:keepNext w:val="0"/>
        <w:keepLines w:val="0"/>
        <w:pageBreakBefore w:val="0"/>
        <w:numPr>
          <w:ilvl w:val="0"/>
          <w:numId w:val="4"/>
        </w:numPr>
        <w:shd w:val="clear"/>
        <w:kinsoku/>
        <w:wordWrap/>
        <w:overflowPunct/>
        <w:topLinePunct w:val="0"/>
        <w:autoSpaceDE/>
        <w:autoSpaceDN/>
        <w:bidi w:val="0"/>
        <w:spacing w:line="50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shd w:val="clear" w:color="auto" w:fill="FFFFFF"/>
        </w:rPr>
        <w:t>信用体系建设</w:t>
      </w:r>
      <w:r>
        <w:rPr>
          <w:rFonts w:hint="eastAsia" w:ascii="仿宋_GB2312" w:hAnsi="仿宋_GB2312" w:eastAsia="仿宋_GB2312" w:cs="仿宋_GB2312"/>
          <w:color w:val="auto"/>
          <w:sz w:val="32"/>
          <w:szCs w:val="32"/>
          <w:shd w:val="clear" w:color="auto" w:fill="FFFFFF"/>
          <w:lang w:eastAsia="zh-CN"/>
        </w:rPr>
        <w:t>较完善，</w:t>
      </w:r>
      <w:r>
        <w:rPr>
          <w:rFonts w:hint="eastAsia" w:ascii="仿宋_GB2312" w:hAnsi="仿宋_GB2312" w:eastAsia="仿宋_GB2312" w:cs="仿宋_GB2312"/>
          <w:b w:val="0"/>
          <w:bCs w:val="0"/>
          <w:i w:val="0"/>
          <w:iCs w:val="0"/>
          <w:kern w:val="2"/>
          <w:sz w:val="32"/>
          <w:szCs w:val="32"/>
          <w:lang w:val="en-US" w:eastAsia="zh-CN" w:bidi="ar"/>
        </w:rPr>
        <w:t>完善信用体系建设，实行守信联合激励和失信联合惩戒机制。服务建设全国统一大市场，建立了《不当干预全国统一大市场建设行为问题整改和典型案例约谈通报制度》，推动各部门形成工作合力，</w:t>
      </w:r>
      <w:r>
        <w:rPr>
          <w:rFonts w:hint="eastAsia" w:ascii="仿宋_GB2312" w:hAnsi="仿宋_GB2312" w:eastAsia="仿宋_GB2312" w:cs="仿宋_GB2312"/>
          <w:sz w:val="32"/>
          <w:szCs w:val="32"/>
          <w:lang w:eastAsia="zh-CN"/>
        </w:rPr>
        <w:t>得</w:t>
      </w:r>
      <w:r>
        <w:rPr>
          <w:rFonts w:hint="eastAsia" w:ascii="仿宋_GB2312" w:hAnsi="仿宋_GB2312" w:eastAsia="仿宋_GB2312" w:cs="仿宋_GB2312"/>
          <w:sz w:val="32"/>
          <w:szCs w:val="32"/>
          <w:lang w:val="en-US" w:eastAsia="zh-CN"/>
        </w:rPr>
        <w:t>10分。</w:t>
      </w:r>
    </w:p>
    <w:p>
      <w:pPr>
        <w:pStyle w:val="2"/>
        <w:keepNext w:val="0"/>
        <w:keepLines w:val="0"/>
        <w:pageBreakBefore w:val="0"/>
        <w:numPr>
          <w:ilvl w:val="0"/>
          <w:numId w:val="0"/>
        </w:numPr>
        <w:kinsoku/>
        <w:wordWrap/>
        <w:overflowPunct/>
        <w:topLinePunct w:val="0"/>
        <w:autoSpaceDE/>
        <w:autoSpaceDN/>
        <w:bidi w:val="0"/>
        <w:spacing w:line="500" w:lineRule="exact"/>
        <w:jc w:val="both"/>
        <w:rPr>
          <w:rFonts w:hint="eastAsia" w:ascii="仿宋_GB2312" w:hAnsi="仿宋_GB2312" w:eastAsia="仿宋_GB2312" w:cs="仿宋_GB2312"/>
          <w:color w:val="auto"/>
          <w:sz w:val="32"/>
          <w:szCs w:val="32"/>
          <w:lang w:val="en-US" w:eastAsia="zh-CN"/>
        </w:rPr>
      </w:pPr>
      <w:r>
        <w:rPr>
          <w:rFonts w:hint="eastAsia"/>
          <w:lang w:val="en-US" w:eastAsia="zh-CN"/>
        </w:rPr>
        <w:t xml:space="preserve">   </w:t>
      </w:r>
      <w:r>
        <w:rPr>
          <w:rFonts w:hint="eastAsia" w:ascii="仿宋_GB2312" w:hAnsi="仿宋_GB2312" w:eastAsia="仿宋_GB2312" w:cs="仿宋_GB2312"/>
          <w:lang w:val="en-US" w:eastAsia="zh-CN"/>
        </w:rPr>
        <w:t xml:space="preserve"> 3.3</w:t>
      </w:r>
      <w:r>
        <w:rPr>
          <w:rFonts w:hint="eastAsia" w:ascii="仿宋_GB2312" w:hAnsi="仿宋_GB2312" w:eastAsia="仿宋_GB2312" w:cs="仿宋_GB2312"/>
          <w:color w:val="auto"/>
          <w:sz w:val="32"/>
          <w:szCs w:val="32"/>
          <w:lang w:val="en-US" w:eastAsia="zh-CN"/>
        </w:rPr>
        <w:t>可持续影响指标（10分，得10分，扣0分）</w:t>
      </w:r>
    </w:p>
    <w:p>
      <w:pPr>
        <w:keepNext w:val="0"/>
        <w:keepLines w:val="0"/>
        <w:pageBreakBefore w:val="0"/>
        <w:shd w:val="clear"/>
        <w:kinsoku/>
        <w:wordWrap/>
        <w:overflowPunct/>
        <w:topLinePunct w:val="0"/>
        <w:autoSpaceDE/>
        <w:autoSpaceDN/>
        <w:bidi w:val="0"/>
        <w:spacing w:line="50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i w:val="0"/>
          <w:iCs w:val="0"/>
          <w:kern w:val="2"/>
          <w:sz w:val="32"/>
          <w:szCs w:val="32"/>
          <w:lang w:val="en-US" w:eastAsia="zh-CN" w:bidi="ar"/>
        </w:rPr>
        <w:t>支持民营企业发展，开展助企纾困解难行动。全市有市场主体51730户，净增3879户，企业净增752户，</w:t>
      </w:r>
      <w:r>
        <w:rPr>
          <w:rFonts w:hint="eastAsia" w:ascii="仿宋_GB2312" w:hAnsi="仿宋_GB2312" w:eastAsia="仿宋_GB2312" w:cs="仿宋_GB2312"/>
          <w:color w:val="auto"/>
          <w:sz w:val="32"/>
          <w:szCs w:val="32"/>
          <w:highlight w:val="none"/>
          <w:lang w:val="en-US" w:eastAsia="zh-CN"/>
        </w:rPr>
        <w:t>得10分。</w:t>
      </w:r>
    </w:p>
    <w:p>
      <w:pPr>
        <w:keepNext w:val="0"/>
        <w:keepLines w:val="0"/>
        <w:pageBreakBefore w:val="0"/>
        <w:numPr>
          <w:ilvl w:val="0"/>
          <w:numId w:val="5"/>
        </w:numPr>
        <w:shd w:val="clear"/>
        <w:kinsoku/>
        <w:wordWrap/>
        <w:overflowPunct/>
        <w:topLinePunct w:val="0"/>
        <w:autoSpaceDE/>
        <w:autoSpaceDN/>
        <w:bidi w:val="0"/>
        <w:spacing w:line="50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满意度指标（10分，得</w:t>
      </w:r>
      <w:r>
        <w:rPr>
          <w:rFonts w:hint="eastAsia" w:ascii="仿宋_GB2312" w:hAnsi="仿宋_GB2312" w:eastAsia="仿宋_GB2312" w:cs="仿宋_GB2312"/>
          <w:b/>
          <w:bCs/>
          <w:color w:val="auto"/>
          <w:sz w:val="32"/>
          <w:szCs w:val="32"/>
          <w:lang w:val="en-US" w:eastAsia="zh-CN"/>
        </w:rPr>
        <w:t>10</w:t>
      </w:r>
      <w:r>
        <w:rPr>
          <w:rFonts w:hint="eastAsia" w:ascii="仿宋_GB2312" w:hAnsi="仿宋_GB2312" w:eastAsia="仿宋_GB2312" w:cs="仿宋_GB2312"/>
          <w:b/>
          <w:bCs/>
          <w:color w:val="auto"/>
          <w:sz w:val="32"/>
          <w:szCs w:val="32"/>
        </w:rPr>
        <w:t>分，扣</w:t>
      </w:r>
      <w:r>
        <w:rPr>
          <w:rFonts w:hint="eastAsia" w:ascii="仿宋_GB2312" w:hAnsi="仿宋_GB2312" w:eastAsia="仿宋_GB2312" w:cs="仿宋_GB2312"/>
          <w:b/>
          <w:bCs/>
          <w:color w:val="auto"/>
          <w:sz w:val="32"/>
          <w:szCs w:val="32"/>
          <w:lang w:val="en-US" w:eastAsia="zh-CN"/>
        </w:rPr>
        <w:t>0</w:t>
      </w:r>
      <w:r>
        <w:rPr>
          <w:rFonts w:hint="eastAsia" w:ascii="仿宋_GB2312" w:hAnsi="仿宋_GB2312" w:eastAsia="仿宋_GB2312" w:cs="仿宋_GB2312"/>
          <w:b/>
          <w:bCs/>
          <w:color w:val="auto"/>
          <w:sz w:val="32"/>
          <w:szCs w:val="32"/>
        </w:rPr>
        <w:t>分）</w:t>
      </w:r>
      <w:r>
        <w:rPr>
          <w:rFonts w:hint="eastAsia" w:ascii="仿宋_GB2312" w:hAnsi="仿宋_GB2312" w:eastAsia="仿宋_GB2312" w:cs="仿宋_GB2312"/>
          <w:b/>
          <w:bCs/>
          <w:color w:val="auto"/>
          <w:sz w:val="32"/>
          <w:szCs w:val="32"/>
          <w:lang w:val="en-US" w:eastAsia="zh-CN"/>
        </w:rPr>
        <w:t xml:space="preserve">                                                                     </w:t>
      </w:r>
    </w:p>
    <w:p>
      <w:pPr>
        <w:keepNext w:val="0"/>
        <w:keepLines w:val="0"/>
        <w:pageBreakBefore w:val="0"/>
        <w:shd w:val="clear"/>
        <w:kinsoku/>
        <w:wordWrap/>
        <w:overflowPunct/>
        <w:topLinePunct w:val="0"/>
        <w:autoSpaceDE/>
        <w:autoSpaceDN/>
        <w:bidi w:val="0"/>
        <w:spacing w:line="500" w:lineRule="exact"/>
        <w:ind w:firstLine="640" w:firstLineChars="200"/>
        <w:rPr>
          <w:rFonts w:hint="default" w:eastAsia="仿宋_GB231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shd w:val="clear" w:color="auto" w:fill="FFFFFF"/>
        </w:rPr>
        <w:t>202</w:t>
      </w:r>
      <w:r>
        <w:rPr>
          <w:rFonts w:hint="eastAsia" w:ascii="仿宋_GB2312" w:hAnsi="仿宋_GB2312" w:eastAsia="仿宋_GB2312" w:cs="仿宋_GB2312"/>
          <w:color w:val="auto"/>
          <w:sz w:val="32"/>
          <w:szCs w:val="32"/>
          <w:shd w:val="clear" w:color="auto" w:fill="FFFFFF"/>
          <w:lang w:val="en-US" w:eastAsia="zh-CN"/>
        </w:rPr>
        <w:t>4</w:t>
      </w:r>
      <w:r>
        <w:rPr>
          <w:rFonts w:hint="eastAsia" w:ascii="仿宋_GB2312" w:hAnsi="仿宋_GB2312" w:eastAsia="仿宋_GB2312" w:cs="仿宋_GB2312"/>
          <w:color w:val="auto"/>
          <w:sz w:val="32"/>
          <w:szCs w:val="32"/>
          <w:shd w:val="clear" w:color="auto" w:fill="FFFFFF"/>
        </w:rPr>
        <w:t>年，在市委、市政府的坚强领导下，全局干部职工切实转变工作作风，得到各级部门及领导的一致好评；得到了广大群众的支持，为全面提升服务制造业高质量发展的能力和水平有了坚实的基础，锐意进取，真抓实干，为广大人民群众奋力交出了一份社会公众满意的答卷</w:t>
      </w:r>
      <w:r>
        <w:rPr>
          <w:rFonts w:hint="eastAsia" w:ascii="仿宋_GB2312" w:hAnsi="仿宋_GB2312" w:eastAsia="仿宋_GB2312" w:cs="仿宋_GB2312"/>
          <w:color w:val="auto"/>
          <w:sz w:val="32"/>
          <w:szCs w:val="32"/>
          <w:shd w:val="clear" w:color="auto" w:fill="FFFFFF"/>
          <w:lang w:eastAsia="zh-CN"/>
        </w:rPr>
        <w:t>，得</w:t>
      </w:r>
      <w:r>
        <w:rPr>
          <w:rFonts w:hint="eastAsia" w:ascii="仿宋_GB2312" w:hAnsi="仿宋_GB2312" w:eastAsia="仿宋_GB2312" w:cs="仿宋_GB2312"/>
          <w:color w:val="auto"/>
          <w:sz w:val="32"/>
          <w:szCs w:val="32"/>
          <w:shd w:val="clear" w:color="auto" w:fill="FFFFFF"/>
          <w:lang w:val="en-US" w:eastAsia="zh-CN"/>
        </w:rPr>
        <w:t>10分</w:t>
      </w:r>
      <w:r>
        <w:rPr>
          <w:rFonts w:hint="eastAsia" w:ascii="仿宋_GB2312" w:hAnsi="仿宋_GB2312" w:eastAsia="仿宋_GB2312" w:cs="仿宋_GB2312"/>
          <w:color w:val="auto"/>
          <w:sz w:val="32"/>
          <w:szCs w:val="32"/>
          <w:shd w:val="clear" w:color="auto" w:fill="FFFFFF"/>
        </w:rPr>
        <w:t>。</w:t>
      </w:r>
    </w:p>
    <w:p>
      <w:pPr>
        <w:pStyle w:val="2"/>
        <w:keepNext w:val="0"/>
        <w:keepLines w:val="0"/>
        <w:pageBreakBefore w:val="0"/>
        <w:numPr>
          <w:ilvl w:val="0"/>
          <w:numId w:val="5"/>
        </w:numPr>
        <w:kinsoku/>
        <w:wordWrap/>
        <w:overflowPunct/>
        <w:topLinePunct w:val="0"/>
        <w:autoSpaceDE/>
        <w:autoSpaceDN/>
        <w:bidi w:val="0"/>
        <w:spacing w:line="500" w:lineRule="exact"/>
        <w:ind w:left="0" w:leftChars="0"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成本指标（10分，得7分，扣3分）</w:t>
      </w:r>
    </w:p>
    <w:p>
      <w:pPr>
        <w:pStyle w:val="2"/>
        <w:keepNext w:val="0"/>
        <w:keepLines w:val="0"/>
        <w:pageBreakBefore w:val="0"/>
        <w:numPr>
          <w:ilvl w:val="0"/>
          <w:numId w:val="0"/>
        </w:numPr>
        <w:kinsoku/>
        <w:wordWrap/>
        <w:overflowPunct/>
        <w:topLinePunct w:val="0"/>
        <w:autoSpaceDE/>
        <w:autoSpaceDN/>
        <w:bidi w:val="0"/>
        <w:spacing w:line="5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5.1三公经费控制率</w:t>
      </w:r>
      <w:r>
        <w:rPr>
          <w:rFonts w:hint="eastAsia" w:ascii="仿宋_GB2312" w:hAnsi="仿宋_GB2312" w:eastAsia="仿宋_GB2312" w:cs="仿宋_GB2312"/>
          <w:i w:val="0"/>
          <w:color w:val="auto"/>
          <w:sz w:val="32"/>
          <w:szCs w:val="32"/>
          <w:u w:val="none"/>
          <w:lang w:eastAsia="zh-CN"/>
        </w:rPr>
        <w:t>》</w:t>
      </w:r>
      <w:r>
        <w:rPr>
          <w:rFonts w:hint="eastAsia" w:ascii="仿宋_GB2312" w:hAnsi="仿宋_GB2312" w:eastAsia="仿宋_GB2312" w:cs="仿宋_GB2312"/>
          <w:sz w:val="32"/>
          <w:szCs w:val="32"/>
          <w:lang w:val="en-US" w:eastAsia="zh-CN"/>
        </w:rPr>
        <w:t>100%，2024临时加购公务用车1台，因此当年超出三公经费预算，考虑到特殊情况，得2分。</w:t>
      </w:r>
    </w:p>
    <w:p>
      <w:pPr>
        <w:pStyle w:val="2"/>
        <w:keepNext w:val="0"/>
        <w:keepLines w:val="0"/>
        <w:pageBreakBefore w:val="0"/>
        <w:numPr>
          <w:ilvl w:val="0"/>
          <w:numId w:val="0"/>
        </w:numPr>
        <w:kinsoku/>
        <w:wordWrap/>
        <w:overflowPunct/>
        <w:topLinePunct w:val="0"/>
        <w:autoSpaceDE/>
        <w:autoSpaceDN/>
        <w:bidi w:val="0"/>
        <w:spacing w:line="5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olor w:val="auto"/>
          <w:sz w:val="32"/>
          <w:szCs w:val="32"/>
          <w:u w:val="none"/>
          <w:lang w:val="en-US" w:eastAsia="zh-CN"/>
        </w:rPr>
        <w:t>5.2</w:t>
      </w:r>
      <w:r>
        <w:rPr>
          <w:rFonts w:hint="eastAsia" w:ascii="仿宋_GB2312" w:hAnsi="仿宋_GB2312" w:eastAsia="仿宋_GB2312" w:cs="仿宋_GB2312"/>
          <w:i w:val="0"/>
          <w:color w:val="auto"/>
          <w:sz w:val="32"/>
          <w:szCs w:val="32"/>
          <w:u w:val="none"/>
          <w:lang w:eastAsia="zh-CN"/>
        </w:rPr>
        <w:t>在职人员控制率《</w:t>
      </w:r>
      <w:r>
        <w:rPr>
          <w:rFonts w:hint="eastAsia" w:ascii="仿宋_GB2312" w:hAnsi="仿宋_GB2312" w:eastAsia="仿宋_GB2312" w:cs="仿宋_GB2312"/>
          <w:sz w:val="32"/>
          <w:szCs w:val="32"/>
          <w:lang w:val="en-US" w:eastAsia="zh-CN"/>
        </w:rPr>
        <w:t>100%，2024年编制数57人，年末实有人数54人，94.74%，得5分。</w:t>
      </w:r>
    </w:p>
    <w:p>
      <w:pPr>
        <w:keepNext w:val="0"/>
        <w:keepLines w:val="0"/>
        <w:pageBreakBefore w:val="0"/>
        <w:numPr>
          <w:ilvl w:val="0"/>
          <w:numId w:val="2"/>
        </w:numPr>
        <w:kinsoku/>
        <w:wordWrap/>
        <w:overflowPunct/>
        <w:topLinePunct w:val="0"/>
        <w:autoSpaceDE/>
        <w:autoSpaceDN/>
        <w:bidi w:val="0"/>
        <w:adjustRightInd w:val="0"/>
        <w:snapToGrid w:val="0"/>
        <w:spacing w:line="500" w:lineRule="exact"/>
        <w:ind w:left="0" w:leftChars="0" w:firstLine="640" w:firstLineChars="200"/>
        <w:rPr>
          <w:rFonts w:eastAsia="黑体"/>
          <w:sz w:val="32"/>
          <w:szCs w:val="32"/>
        </w:rPr>
      </w:pPr>
      <w:r>
        <w:rPr>
          <w:rFonts w:eastAsia="黑体"/>
          <w:sz w:val="32"/>
          <w:szCs w:val="32"/>
        </w:rPr>
        <w:t>主要经验做法、存在的问题及原因分析</w:t>
      </w:r>
    </w:p>
    <w:p>
      <w:pPr>
        <w:pStyle w:val="8"/>
        <w:keepNext w:val="0"/>
        <w:keepLines w:val="0"/>
        <w:pageBreakBefore w:val="0"/>
        <w:widowControl/>
        <w:shd w:val="clear"/>
        <w:kinsoku/>
        <w:wordWrap/>
        <w:overflowPunct/>
        <w:topLinePunct w:val="0"/>
        <w:autoSpaceDE/>
        <w:autoSpaceDN/>
        <w:bidi w:val="0"/>
        <w:spacing w:before="0" w:beforeAutospacing="0" w:after="0" w:afterAutospacing="0" w:line="500" w:lineRule="exact"/>
        <w:ind w:firstLine="482"/>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（1）结合单位的资金能力，分清业务的不同性质，按轻重缓急统筹安排编制预算，提高预算编制科学性和合理性，优化资金结构。</w:t>
      </w:r>
    </w:p>
    <w:p>
      <w:pPr>
        <w:pStyle w:val="8"/>
        <w:keepNext w:val="0"/>
        <w:keepLines w:val="0"/>
        <w:pageBreakBefore w:val="0"/>
        <w:widowControl/>
        <w:shd w:val="clear"/>
        <w:kinsoku/>
        <w:wordWrap/>
        <w:overflowPunct/>
        <w:topLinePunct w:val="0"/>
        <w:autoSpaceDE/>
        <w:autoSpaceDN/>
        <w:bidi w:val="0"/>
        <w:spacing w:before="0" w:beforeAutospacing="0" w:after="0" w:afterAutospacing="0" w:line="500" w:lineRule="exact"/>
        <w:ind w:firstLine="482"/>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强化财务控制意识，准确定位财务人员角色。将财务的职能定位于全面参与资金使用的决策与控制。要对财务人员进行合理规范的分工和岗位职责界定以保证财务的职能得以有效地实现。加强对资金支出方面的管理，保证资金使用的高效率。</w:t>
      </w:r>
    </w:p>
    <w:p>
      <w:pPr>
        <w:pStyle w:val="8"/>
        <w:keepNext w:val="0"/>
        <w:keepLines w:val="0"/>
        <w:pageBreakBefore w:val="0"/>
        <w:widowControl/>
        <w:shd w:val="clear"/>
        <w:kinsoku/>
        <w:wordWrap/>
        <w:overflowPunct/>
        <w:topLinePunct w:val="0"/>
        <w:autoSpaceDE/>
        <w:autoSpaceDN/>
        <w:bidi w:val="0"/>
        <w:spacing w:before="0" w:beforeAutospacing="0" w:after="0" w:afterAutospacing="0" w:line="500" w:lineRule="exact"/>
        <w:ind w:firstLine="482"/>
        <w:jc w:val="both"/>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预算绩效管理是一项综合性很强的工作，也是一项技术水平要求比较高的工作。通过开展绩效评价工作，我们也发现了在资金管理中所存在的问题，以后将不断的改进和完善。但因为本局财务人员的业务水平还有待提高，同时在分析手段和技术水平上还有待完善。希望市财政局多组织业务培训，对我局多加强业务指导，促进我局不断提升预算管理水平。</w:t>
      </w:r>
    </w:p>
    <w:p>
      <w:pPr>
        <w:keepNext w:val="0"/>
        <w:keepLines w:val="0"/>
        <w:pageBreakBefore w:val="0"/>
        <w:kinsoku/>
        <w:wordWrap/>
        <w:overflowPunct/>
        <w:topLinePunct w:val="0"/>
        <w:autoSpaceDE/>
        <w:autoSpaceDN/>
        <w:bidi w:val="0"/>
        <w:adjustRightInd w:val="0"/>
        <w:snapToGrid w:val="0"/>
        <w:spacing w:line="500" w:lineRule="exact"/>
        <w:ind w:firstLine="640" w:firstLineChars="200"/>
        <w:rPr>
          <w:rFonts w:eastAsia="黑体"/>
          <w:sz w:val="32"/>
          <w:szCs w:val="32"/>
        </w:rPr>
      </w:pPr>
      <w:r>
        <w:rPr>
          <w:rFonts w:hint="eastAsia" w:eastAsia="黑体"/>
          <w:sz w:val="32"/>
          <w:szCs w:val="32"/>
        </w:rPr>
        <w:t>九</w:t>
      </w:r>
      <w:r>
        <w:rPr>
          <w:rFonts w:eastAsia="黑体"/>
          <w:sz w:val="32"/>
          <w:szCs w:val="32"/>
        </w:rPr>
        <w:t>、有关建议</w:t>
      </w:r>
    </w:p>
    <w:p>
      <w:pPr>
        <w:pStyle w:val="8"/>
        <w:keepNext w:val="0"/>
        <w:keepLines w:val="0"/>
        <w:pageBreakBefore w:val="0"/>
        <w:widowControl/>
        <w:shd w:val="clear"/>
        <w:kinsoku/>
        <w:wordWrap/>
        <w:overflowPunct/>
        <w:topLinePunct w:val="0"/>
        <w:autoSpaceDE/>
        <w:autoSpaceDN/>
        <w:bidi w:val="0"/>
        <w:spacing w:before="0" w:beforeAutospacing="0" w:after="0" w:afterAutospacing="0" w:line="500" w:lineRule="exact"/>
        <w:ind w:firstLine="42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科学合理编制部门预算，推进预算编制科学化、准确化。年度预算编制后，根据实际情况，定期做好预算执行分析，掌握预算执行进度，及时找出预算实际执行情况与预算目标之间存在的差距，纠正偏差，为下一次科学、准确地编制部门预算积累经验。</w:t>
      </w:r>
    </w:p>
    <w:p>
      <w:pPr>
        <w:pStyle w:val="8"/>
        <w:keepNext w:val="0"/>
        <w:keepLines w:val="0"/>
        <w:pageBreakBefore w:val="0"/>
        <w:widowControl/>
        <w:shd w:val="clear"/>
        <w:kinsoku/>
        <w:wordWrap/>
        <w:overflowPunct/>
        <w:topLinePunct w:val="0"/>
        <w:autoSpaceDE/>
        <w:autoSpaceDN/>
        <w:bidi w:val="0"/>
        <w:spacing w:before="0" w:beforeAutospacing="0" w:after="0" w:afterAutospacing="0" w:line="500" w:lineRule="exact"/>
        <w:ind w:firstLine="420"/>
        <w:jc w:val="both"/>
      </w:pPr>
      <w:r>
        <w:rPr>
          <w:rFonts w:hint="eastAsia" w:ascii="仿宋_GB2312" w:hAnsi="仿宋_GB2312" w:eastAsia="仿宋_GB2312" w:cs="仿宋_GB2312"/>
          <w:color w:val="000000" w:themeColor="text1"/>
          <w:sz w:val="32"/>
          <w:szCs w:val="32"/>
          <w14:textFill>
            <w14:solidFill>
              <w14:schemeClr w14:val="tx1"/>
            </w14:solidFill>
          </w14:textFill>
        </w:rPr>
        <w:t>（二）进一步健全并认真执行各项资金使用管理制度，建立内部控制机制，资金使用严格履行审批程序，确保资金支出合法、真实。严格落实会计核算、报销审批制度，加强对资金使用环节的监督。</w:t>
      </w:r>
    </w:p>
    <w:p>
      <w:pPr>
        <w:keepNext w:val="0"/>
        <w:keepLines w:val="0"/>
        <w:pageBreakBefore w:val="0"/>
        <w:kinsoku/>
        <w:wordWrap/>
        <w:overflowPunct/>
        <w:topLinePunct w:val="0"/>
        <w:autoSpaceDE/>
        <w:autoSpaceDN/>
        <w:bidi w:val="0"/>
        <w:spacing w:line="500" w:lineRule="exact"/>
        <w:ind w:firstLine="640" w:firstLineChars="200"/>
        <w:rPr>
          <w:rFonts w:eastAsia="黑体"/>
          <w:sz w:val="32"/>
          <w:szCs w:val="32"/>
        </w:rPr>
      </w:pPr>
      <w:r>
        <w:rPr>
          <w:rFonts w:hint="eastAsia" w:eastAsia="黑体"/>
          <w:sz w:val="32"/>
          <w:szCs w:val="32"/>
        </w:rPr>
        <w:t>十</w:t>
      </w:r>
      <w:r>
        <w:rPr>
          <w:rFonts w:eastAsia="黑体"/>
          <w:sz w:val="32"/>
          <w:szCs w:val="32"/>
        </w:rPr>
        <w:t>、绩效自评结果拟应用和公开情况</w:t>
      </w:r>
    </w:p>
    <w:p>
      <w:pPr>
        <w:pStyle w:val="7"/>
        <w:keepNext w:val="0"/>
        <w:keepLines w:val="0"/>
        <w:pageBreakBefore w:val="0"/>
        <w:shd w:val="clear"/>
        <w:kinsoku/>
        <w:wordWrap/>
        <w:overflowPunct/>
        <w:topLinePunct w:val="0"/>
        <w:autoSpaceDE/>
        <w:autoSpaceDN/>
        <w:bidi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部门重视预算绩效评价结果的应用和公开。按照规定的统一时点和要求报送财政部门审核，针对财政部门的反馈意见，认真抓好整改落实，并将部门预算绩效评价结果进行公开，接受社会监督。202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年将继续加大预算绩效管理力度，扎实开展预算绩效管理工作，将预算绩效自评价结果作为改进预算管理和安排以后年度预算的重要依据。</w:t>
      </w:r>
    </w:p>
    <w:p>
      <w:pPr>
        <w:keepNext w:val="0"/>
        <w:keepLines w:val="0"/>
        <w:pageBreakBefore w:val="0"/>
        <w:kinsoku/>
        <w:wordWrap/>
        <w:overflowPunct/>
        <w:topLinePunct w:val="0"/>
        <w:autoSpaceDE/>
        <w:autoSpaceDN/>
        <w:bidi w:val="0"/>
        <w:adjustRightInd w:val="0"/>
        <w:snapToGrid w:val="0"/>
        <w:spacing w:line="500" w:lineRule="exact"/>
        <w:ind w:firstLine="640" w:firstLineChars="200"/>
        <w:rPr>
          <w:rFonts w:eastAsia="黑体"/>
          <w:sz w:val="32"/>
          <w:szCs w:val="32"/>
        </w:rPr>
      </w:pPr>
      <w:r>
        <w:rPr>
          <w:rFonts w:hint="eastAsia" w:eastAsia="黑体"/>
          <w:sz w:val="32"/>
          <w:szCs w:val="32"/>
        </w:rPr>
        <w:t>十一</w:t>
      </w:r>
      <w:r>
        <w:rPr>
          <w:rFonts w:eastAsia="黑体"/>
          <w:sz w:val="32"/>
          <w:szCs w:val="32"/>
        </w:rPr>
        <w:t>、其他需要说明的问题</w:t>
      </w:r>
    </w:p>
    <w:p>
      <w:pPr>
        <w:keepNext w:val="0"/>
        <w:keepLines w:val="0"/>
        <w:pageBreakBefore w:val="0"/>
        <w:kinsoku/>
        <w:wordWrap/>
        <w:overflowPunct/>
        <w:topLinePunct w:val="0"/>
        <w:autoSpaceDE/>
        <w:autoSpaceDN/>
        <w:bidi w:val="0"/>
        <w:spacing w:line="500" w:lineRule="exact"/>
        <w:ind w:firstLine="640" w:firstLineChars="200"/>
        <w:rPr>
          <w:rFonts w:hint="eastAsia" w:eastAsia="仿宋_GB2312"/>
          <w:sz w:val="32"/>
          <w:szCs w:val="32"/>
          <w:lang w:eastAsia="zh-CN"/>
        </w:rPr>
      </w:pPr>
      <w:r>
        <w:rPr>
          <w:rFonts w:hint="eastAsia" w:eastAsia="仿宋_GB2312"/>
          <w:sz w:val="32"/>
          <w:szCs w:val="32"/>
          <w:lang w:eastAsia="zh-CN"/>
        </w:rPr>
        <w:t>无</w:t>
      </w:r>
    </w:p>
    <w:p>
      <w:pPr>
        <w:pStyle w:val="2"/>
        <w:keepNext w:val="0"/>
        <w:keepLines w:val="0"/>
        <w:pageBreakBefore w:val="0"/>
        <w:kinsoku/>
        <w:wordWrap/>
        <w:overflowPunct/>
        <w:topLinePunct w:val="0"/>
        <w:autoSpaceDE/>
        <w:autoSpaceDN/>
        <w:bidi w:val="0"/>
        <w:spacing w:line="500" w:lineRule="exact"/>
        <w:rPr>
          <w:rFonts w:hint="eastAsia" w:eastAsia="仿宋_GB2312"/>
          <w:sz w:val="32"/>
          <w:szCs w:val="32"/>
          <w:lang w:eastAsia="zh-CN"/>
        </w:rPr>
      </w:pPr>
    </w:p>
    <w:p>
      <w:pPr>
        <w:pStyle w:val="2"/>
        <w:ind w:left="0" w:leftChars="0" w:firstLine="0" w:firstLineChars="0"/>
        <w:jc w:val="both"/>
        <w:rPr>
          <w:rFonts w:hint="eastAsia" w:eastAsia="仿宋_GB2312"/>
          <w:sz w:val="32"/>
          <w:szCs w:val="32"/>
          <w:lang w:eastAsia="zh-CN"/>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altName w:val="黑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1A0F3C52" w:usb2="00000010"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Tahoma">
    <w:panose1 w:val="020B0604030504040204"/>
    <w:charset w:val="00"/>
    <w:family w:val="auto"/>
    <w:pitch w:val="default"/>
    <w:sig w:usb0="61007A87" w:usb1="80000000" w:usb2="00000008"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6E611D"/>
    <w:multiLevelType w:val="singleLevel"/>
    <w:tmpl w:val="AA6E611D"/>
    <w:lvl w:ilvl="0" w:tentative="0">
      <w:start w:val="4"/>
      <w:numFmt w:val="decimal"/>
      <w:suff w:val="nothing"/>
      <w:lvlText w:val="%1、"/>
      <w:lvlJc w:val="left"/>
    </w:lvl>
  </w:abstractNum>
  <w:abstractNum w:abstractNumId="1">
    <w:nsid w:val="BB3BBD1B"/>
    <w:multiLevelType w:val="singleLevel"/>
    <w:tmpl w:val="BB3BBD1B"/>
    <w:lvl w:ilvl="0" w:tentative="0">
      <w:start w:val="3"/>
      <w:numFmt w:val="chineseCounting"/>
      <w:suff w:val="nothing"/>
      <w:lvlText w:val="%1、"/>
      <w:lvlJc w:val="left"/>
      <w:rPr>
        <w:rFonts w:hint="eastAsia"/>
      </w:rPr>
    </w:lvl>
  </w:abstractNum>
  <w:abstractNum w:abstractNumId="2">
    <w:nsid w:val="FEBF6F8E"/>
    <w:multiLevelType w:val="singleLevel"/>
    <w:tmpl w:val="FEBF6F8E"/>
    <w:lvl w:ilvl="0" w:tentative="0">
      <w:start w:val="3"/>
      <w:numFmt w:val="chineseCounting"/>
      <w:suff w:val="nothing"/>
      <w:lvlText w:val="（%1）"/>
      <w:lvlJc w:val="left"/>
      <w:rPr>
        <w:rFonts w:hint="eastAsia"/>
      </w:rPr>
    </w:lvl>
  </w:abstractNum>
  <w:abstractNum w:abstractNumId="3">
    <w:nsid w:val="2110FC65"/>
    <w:multiLevelType w:val="singleLevel"/>
    <w:tmpl w:val="2110FC65"/>
    <w:lvl w:ilvl="0" w:tentative="0">
      <w:start w:val="1"/>
      <w:numFmt w:val="decimal"/>
      <w:suff w:val="nothing"/>
      <w:lvlText w:val="（%1）"/>
      <w:lvlJc w:val="left"/>
    </w:lvl>
  </w:abstractNum>
  <w:abstractNum w:abstractNumId="4">
    <w:nsid w:val="4CA1DB88"/>
    <w:multiLevelType w:val="singleLevel"/>
    <w:tmpl w:val="4CA1DB88"/>
    <w:lvl w:ilvl="0" w:tentative="0">
      <w:start w:val="2"/>
      <w:numFmt w:val="chineseCounting"/>
      <w:suff w:val="nothing"/>
      <w:lvlText w:val="（%1）"/>
      <w:lvlJc w:val="left"/>
      <w:rPr>
        <w:rFonts w:hint="eastAsia"/>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A97D41"/>
    <w:rsid w:val="03A97D41"/>
    <w:rsid w:val="05E75FED"/>
    <w:rsid w:val="05F7214C"/>
    <w:rsid w:val="080219BC"/>
    <w:rsid w:val="08543E18"/>
    <w:rsid w:val="0DAE21D4"/>
    <w:rsid w:val="0E8809B1"/>
    <w:rsid w:val="0EB420EC"/>
    <w:rsid w:val="11963C3F"/>
    <w:rsid w:val="12780753"/>
    <w:rsid w:val="134F35B6"/>
    <w:rsid w:val="17D700DC"/>
    <w:rsid w:val="18EF4953"/>
    <w:rsid w:val="19311C89"/>
    <w:rsid w:val="1A6A055F"/>
    <w:rsid w:val="1B0958A7"/>
    <w:rsid w:val="1C4C113C"/>
    <w:rsid w:val="1D400A63"/>
    <w:rsid w:val="1FBD68B2"/>
    <w:rsid w:val="208D2909"/>
    <w:rsid w:val="272937B9"/>
    <w:rsid w:val="28542B52"/>
    <w:rsid w:val="29040511"/>
    <w:rsid w:val="2CF05F56"/>
    <w:rsid w:val="2E463805"/>
    <w:rsid w:val="2F0B6BF0"/>
    <w:rsid w:val="31855141"/>
    <w:rsid w:val="34EF7110"/>
    <w:rsid w:val="35E4143D"/>
    <w:rsid w:val="380F0E7B"/>
    <w:rsid w:val="3BB70EAA"/>
    <w:rsid w:val="3C6D54BC"/>
    <w:rsid w:val="3FFA00F2"/>
    <w:rsid w:val="45A7364C"/>
    <w:rsid w:val="4A84296E"/>
    <w:rsid w:val="4CA126E9"/>
    <w:rsid w:val="4F592907"/>
    <w:rsid w:val="50503445"/>
    <w:rsid w:val="51F57880"/>
    <w:rsid w:val="596B48B9"/>
    <w:rsid w:val="5D4604CA"/>
    <w:rsid w:val="631A5025"/>
    <w:rsid w:val="66A72A0D"/>
    <w:rsid w:val="680600AF"/>
    <w:rsid w:val="69EC5D90"/>
    <w:rsid w:val="6B1F033B"/>
    <w:rsid w:val="6C573723"/>
    <w:rsid w:val="6C7513DD"/>
    <w:rsid w:val="700F168C"/>
    <w:rsid w:val="730A64D3"/>
    <w:rsid w:val="73314D23"/>
    <w:rsid w:val="7F006E27"/>
    <w:rsid w:val="7F034D53"/>
    <w:rsid w:val="7F596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Index5"/>
    <w:basedOn w:val="1"/>
    <w:next w:val="1"/>
    <w:qFormat/>
    <w:uiPriority w:val="0"/>
    <w:pPr>
      <w:ind w:left="1678"/>
      <w:jc w:val="center"/>
      <w:textAlignment w:val="baseline"/>
    </w:pPr>
    <w:rPr>
      <w:rFonts w:ascii="方正小标宋简体" w:eastAsia="方正小标宋简体"/>
      <w:kern w:val="2"/>
      <w:sz w:val="32"/>
      <w:szCs w:val="32"/>
      <w:lang w:val="en-US" w:eastAsia="zh-CN" w:bidi="ar-SA"/>
    </w:rPr>
  </w:style>
  <w:style w:type="paragraph" w:styleId="3">
    <w:name w:val="Normal Indent"/>
    <w:basedOn w:val="1"/>
    <w:qFormat/>
    <w:uiPriority w:val="0"/>
    <w:pPr>
      <w:ind w:firstLine="420" w:firstLineChars="200"/>
    </w:pPr>
  </w:style>
  <w:style w:type="paragraph" w:styleId="4">
    <w:name w:val="index 5"/>
    <w:basedOn w:val="1"/>
    <w:next w:val="1"/>
    <w:semiHidden/>
    <w:qFormat/>
    <w:uiPriority w:val="0"/>
    <w:pPr>
      <w:ind w:left="800" w:leftChars="800"/>
    </w:pPr>
  </w:style>
  <w:style w:type="paragraph" w:styleId="5">
    <w:name w:val="Body Text"/>
    <w:basedOn w:val="1"/>
    <w:next w:val="1"/>
    <w:semiHidden/>
    <w:qFormat/>
    <w:uiPriority w:val="99"/>
  </w:style>
  <w:style w:type="paragraph" w:styleId="6">
    <w:name w:val="Body Text Indent"/>
    <w:basedOn w:val="1"/>
    <w:next w:val="5"/>
    <w:qFormat/>
    <w:uiPriority w:val="0"/>
    <w:pPr>
      <w:spacing w:after="120"/>
      <w:ind w:left="420" w:leftChars="200"/>
    </w:pPr>
  </w:style>
  <w:style w:type="paragraph" w:styleId="7">
    <w:name w:val="footer"/>
    <w:basedOn w:val="1"/>
    <w:next w:val="4"/>
    <w:qFormat/>
    <w:uiPriority w:val="0"/>
    <w:pPr>
      <w:tabs>
        <w:tab w:val="center" w:pos="4153"/>
        <w:tab w:val="right" w:pos="8306"/>
      </w:tabs>
      <w:snapToGrid w:val="0"/>
      <w:jc w:val="left"/>
    </w:pPr>
    <w:rPr>
      <w:sz w:val="18"/>
    </w:rPr>
  </w:style>
  <w:style w:type="paragraph" w:styleId="8">
    <w:name w:val="Normal (Web)"/>
    <w:basedOn w:val="1"/>
    <w:qFormat/>
    <w:uiPriority w:val="0"/>
    <w:pPr>
      <w:spacing w:before="100" w:beforeAutospacing="1" w:after="100" w:afterAutospacing="1"/>
      <w:jc w:val="left"/>
    </w:pPr>
    <w:rPr>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列出段落1"/>
    <w:basedOn w:val="1"/>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2025-05-29T06:07:00Z</dcterms:created>
  <dc:creator>tyl10</dc:creator>
  <cp:lastModifiedBy>tyl10</cp:lastModifiedBy>
  <dcterms:modified xsi:type="dcterms:W3CDTF">2025-06-16T00:10:08Z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