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吉首市民政局部门</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2023</w:t>
      </w:r>
      <w:r>
        <w:rPr>
          <w:rFonts w:hint="eastAsia" w:ascii="方正小标宋简体" w:hAnsi="方正小标宋简体" w:eastAsia="方正小标宋简体" w:cs="方正小标宋简体"/>
          <w:sz w:val="48"/>
          <w:szCs w:val="48"/>
        </w:rPr>
        <w:t>年度部门整体支出绩效自评报告</w:t>
      </w:r>
    </w:p>
    <w:p>
      <w:pPr>
        <w:jc w:val="center"/>
        <w:rPr>
          <w:rFonts w:eastAsia="楷体_GB2312"/>
          <w:b/>
          <w:bCs/>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hint="eastAsia" w:eastAsia="黑体"/>
          <w:sz w:val="36"/>
          <w:szCs w:val="36"/>
          <w:lang w:eastAsia="zh-CN"/>
        </w:rPr>
      </w:pPr>
      <w:r>
        <w:rPr>
          <w:rFonts w:hint="eastAsia" w:eastAsia="黑体"/>
          <w:sz w:val="36"/>
          <w:szCs w:val="36"/>
        </w:rPr>
        <w:t>部门</w:t>
      </w:r>
      <w:r>
        <w:rPr>
          <w:rFonts w:eastAsia="黑体"/>
          <w:sz w:val="36"/>
          <w:szCs w:val="36"/>
        </w:rPr>
        <w:t>名称</w:t>
      </w:r>
      <w:r>
        <w:rPr>
          <w:rFonts w:hint="eastAsia" w:eastAsia="黑体"/>
          <w:sz w:val="36"/>
          <w:szCs w:val="36"/>
          <w:lang w:val="en-US" w:eastAsia="zh-CN"/>
        </w:rPr>
        <w:t xml:space="preserve"> </w:t>
      </w:r>
      <w:r>
        <w:rPr>
          <w:rFonts w:eastAsia="黑体"/>
          <w:sz w:val="36"/>
          <w:szCs w:val="36"/>
        </w:rPr>
        <w:t>（盖章）：</w:t>
      </w:r>
      <w:r>
        <w:rPr>
          <w:rFonts w:hint="eastAsia" w:eastAsia="黑体"/>
          <w:sz w:val="36"/>
          <w:szCs w:val="36"/>
          <w:lang w:eastAsia="zh-CN"/>
        </w:rPr>
        <w:t>吉首市民政局</w:t>
      </w:r>
    </w:p>
    <w:p>
      <w:pPr>
        <w:spacing w:line="600" w:lineRule="exact"/>
        <w:ind w:firstLine="3600" w:firstLineChars="1000"/>
        <w:rPr>
          <w:rFonts w:hint="eastAsia" w:eastAsia="黑体"/>
          <w:sz w:val="36"/>
          <w:szCs w:val="36"/>
          <w:lang w:eastAsia="zh-CN"/>
        </w:rPr>
      </w:pPr>
      <w:r>
        <w:rPr>
          <w:rFonts w:hint="eastAsia" w:eastAsia="黑体"/>
          <w:sz w:val="36"/>
          <w:szCs w:val="36"/>
        </w:rPr>
        <w:t>预算编码：201001</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w:t>
      </w:r>
      <w:r>
        <w:rPr>
          <w:rFonts w:hint="eastAsia" w:eastAsia="仿宋_GB2312"/>
          <w:sz w:val="32"/>
          <w:szCs w:val="32"/>
          <w:lang w:eastAsia="zh-CN"/>
        </w:rPr>
        <w:t>吉首市民政局</w:t>
      </w:r>
      <w:r>
        <w:rPr>
          <w:rFonts w:hint="eastAsia" w:eastAsia="仿宋_GB2312"/>
          <w:sz w:val="32"/>
          <w:szCs w:val="32"/>
        </w:rPr>
        <w:t>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w:t>
      </w:r>
      <w:r>
        <w:rPr>
          <w:rFonts w:hint="eastAsia" w:eastAsia="仿宋_GB2312"/>
          <w:sz w:val="32"/>
          <w:szCs w:val="32"/>
          <w:lang w:eastAsia="zh-CN"/>
        </w:rPr>
        <w:t>吉首市民政局</w:t>
      </w:r>
      <w:r>
        <w:rPr>
          <w:rFonts w:hint="eastAsia" w:eastAsia="仿宋_GB2312"/>
          <w:sz w:val="32"/>
          <w:szCs w:val="32"/>
        </w:rPr>
        <w:t>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810"/>
        <w:gridCol w:w="147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3563"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姚易</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19158799429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3563" w:type="dxa"/>
            <w:gridSpan w:val="6"/>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50</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pPr>
              <w:autoSpaceDN w:val="0"/>
              <w:spacing w:line="320" w:lineRule="exact"/>
              <w:ind w:firstLine="480" w:firstLineChars="200"/>
              <w:jc w:val="left"/>
              <w:textAlignment w:val="center"/>
              <w:rPr>
                <w:rFonts w:eastAsia="仿宋_GB2312" w:cs="仿宋_GB2312"/>
                <w:sz w:val="24"/>
              </w:rPr>
            </w:pPr>
            <w:r>
              <w:rPr>
                <w:rFonts w:hint="eastAsia" w:eastAsia="仿宋_GB2312" w:cs="仿宋_GB2312"/>
                <w:sz w:val="24"/>
              </w:rPr>
              <w:t>贯彻执行党的国家关于民政工作的法律、法规和方针、政策；承担全市社会团体、基金会、民办非企业单位登记管理和监察责任；组织实施金市社会救助工作；负责城乡居民最低生活保障、临时救助工作；负责农村特困供养和敬老院建设与管理工作；负责城乡社会救助体系建设工作；指导城乡基层群众自治组织建设和社区建设工作；提出加强和改进城乡基层政权建设的建议；指导全市社会福利机构的建设和管理；指导老年人、孤儿和残疾人等特殊群体的权益保障的行政管理工作；指导福利彩票发行和福利彩票公益金的使用管理；组织促进慈善事业发晨工作；组织、指导社会捐助工作；贯彻执行国家的婚姻登记、殡葬管理和儿童收养法律、法规和政策并组织实施；负责全市孤儿弃婴收养工作；指导并监督实施国家儿童收养法律、法规；推进婚俗和殡葬改革；指导婚姻、殡葬、收养服务机构的管理工作；指导生活无着人员救助管理的建设；协调跨省、跨市、跨市的生活无着人员救助管理和流浪末成年人的救助保护工作；承办市委、市人民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1、制定全市民政事业中、长期发展规划和年度工作计划，贯彻执行民政工作方针、政策和法规，并组织实施和监督检查。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2、建立和实施城乡居民最低生活保障制度，按规定管理和安 排使用中央、省、州、市下拨的保障金;协调、指导开展社会救助工作;组织和指导扶贫济困等社会互助活动;指导农村五保户供养和 </w:t>
            </w:r>
          </w:p>
          <w:p>
            <w:pPr>
              <w:autoSpaceDN w:val="0"/>
              <w:spacing w:line="320" w:lineRule="exact"/>
              <w:jc w:val="left"/>
              <w:textAlignment w:val="center"/>
              <w:rPr>
                <w:rFonts w:hint="eastAsia" w:eastAsia="仿宋_GB2312" w:cs="仿宋_GB2312"/>
                <w:sz w:val="24"/>
              </w:rPr>
            </w:pPr>
            <w:r>
              <w:rPr>
                <w:rFonts w:hint="eastAsia" w:eastAsia="仿宋_GB2312" w:cs="仿宋_GB2312"/>
                <w:sz w:val="24"/>
                <w:lang w:val="en-US" w:eastAsia="zh-CN"/>
              </w:rPr>
              <w:t xml:space="preserve">敬老院建设。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3、负责全市性社会团体组织的成立、变更、登记管理和年检工作;查处社团组织的违法行为和未经登记而以社团名义开展活动的非法组织:指导社团组织依法开展活动。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4、负责全市性民办非企业单位的登记和年检工作;查处民办非企业单位的违法行为和未经登记的民办非企业单位:指导民办非企业单位依法开展活动。注重培育和发展农村专业经济协会，促进农村产业发展。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5、完善老区扶贫机制，做好老区项目申报、建设、督查工作 ，管理老区项目资金。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6、指导城乡基层政权建设工作:指导村民委员会民主选举、民主决策、民主管理和民主监督工作;推动村务公开和基层民主政治建设;指导城市社区居民委员会建设;指导社区服务管理工作，推动社区建设。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7、负责全市婚姻登记管理工作，指导、监督全市婚姻服务活动，倡导婚姻习俗改革。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8、承办市人民政府交办的行政区划的有关工作，负责市、乡镇、街道的设立、撤销、更名和界线变更的报批;研究和修订行政区域规划;负责乡镇、村行政区域边界的勘定和管理及边界争议的调处工作;参与上级组织的县市行政区域边界的勘定工作。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9、负责规定权限内地名命名、更名的拟定和报批工作;规范全 </w:t>
            </w:r>
          </w:p>
          <w:p>
            <w:pPr>
              <w:autoSpaceDN w:val="0"/>
              <w:spacing w:line="320" w:lineRule="exact"/>
              <w:jc w:val="left"/>
              <w:textAlignment w:val="center"/>
              <w:rPr>
                <w:rFonts w:hint="eastAsia" w:eastAsia="仿宋_GB2312" w:cs="仿宋_GB2312"/>
                <w:sz w:val="24"/>
              </w:rPr>
            </w:pPr>
            <w:r>
              <w:rPr>
                <w:rFonts w:hint="eastAsia" w:eastAsia="仿宋_GB2312" w:cs="仿宋_GB2312"/>
                <w:sz w:val="24"/>
                <w:lang w:val="en-US" w:eastAsia="zh-CN"/>
              </w:rPr>
              <w:t xml:space="preserve">市地名标志的设置和管理;组织建立和管理地名资料档案。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10、组织实施全市社会福利发展规划，指导全市社会福利事业单位的建设管理工作，承担孤儿、困境儿童等特殊困难群体权益保护的行政管理工作;指导残疾人的权益保障工作;负责全市福利彩票发行管理工作，管理本级福利资金并监督使用。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11、贯彻落实老年人、孤弃儿童、困境儿童、“三留守”(留守儿童、留守老人、留守妇女)人员等特殊困难群体权益保护政策;负责全市儿童收养工作，依法办理收养登记;负责特困人员救助供养机构和社会福利机构管理工作;指导社会办养老政策衔接落实;统筹推进未成年人保护工作。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12、推行殡葬改革，负责全市殡葬管理工作，负责全市公益性公墓建设;负责审核上报经营性公墓;倡导文明丧葬习俗。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13、负责全市流浪气讨人员的救助管理工作:负责全市救助站的建设和管理。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14、负责民政事业财务、国有资产管理和统计、审计工作管理全市民政事业经费;指导、监督民政事业费的使用。 </w:t>
            </w:r>
          </w:p>
          <w:p>
            <w:pPr>
              <w:autoSpaceDN w:val="0"/>
              <w:spacing w:line="320" w:lineRule="exact"/>
              <w:ind w:firstLine="480" w:firstLineChars="200"/>
              <w:jc w:val="left"/>
              <w:textAlignment w:val="center"/>
              <w:rPr>
                <w:rFonts w:hint="eastAsia" w:eastAsia="仿宋_GB2312" w:cs="仿宋_GB2312"/>
                <w:sz w:val="24"/>
              </w:rPr>
            </w:pPr>
            <w:r>
              <w:rPr>
                <w:rFonts w:hint="eastAsia" w:eastAsia="仿宋_GB2312" w:cs="仿宋_GB2312"/>
                <w:sz w:val="24"/>
                <w:lang w:val="en-US" w:eastAsia="zh-CN"/>
              </w:rPr>
              <w:t xml:space="preserve">15、承办市委、市人民政府交办的其他事项。 </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70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吉首市民政局</w:t>
            </w:r>
          </w:p>
        </w:tc>
        <w:tc>
          <w:tcPr>
            <w:tcW w:w="1080"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11876.72</w:t>
            </w:r>
          </w:p>
        </w:tc>
        <w:tc>
          <w:tcPr>
            <w:tcW w:w="1355"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082" w:type="dxa"/>
            <w:gridSpan w:val="2"/>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11440.56</w:t>
            </w:r>
          </w:p>
        </w:tc>
        <w:tc>
          <w:tcPr>
            <w:tcW w:w="1705" w:type="dxa"/>
            <w:gridSpan w:val="2"/>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161.18</w:t>
            </w: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274.98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67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lang w:eastAsia="zh-CN"/>
              </w:rPr>
              <w:t>吉首市民政局</w:t>
            </w:r>
          </w:p>
        </w:tc>
        <w:tc>
          <w:tcPr>
            <w:tcW w:w="1080"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11876.72</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1911.52</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1746.85</w:t>
            </w:r>
          </w:p>
        </w:tc>
        <w:tc>
          <w:tcPr>
            <w:tcW w:w="2160" w:type="dxa"/>
            <w:gridSpan w:val="4"/>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164.67</w:t>
            </w:r>
          </w:p>
        </w:tc>
        <w:tc>
          <w:tcPr>
            <w:tcW w:w="1080"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9965.20</w:t>
            </w: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355"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08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216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lang w:eastAsia="zh-CN"/>
              </w:rPr>
              <w:t>吉首市民政局</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5.56</w:t>
            </w:r>
          </w:p>
        </w:tc>
        <w:tc>
          <w:tcPr>
            <w:tcW w:w="1355" w:type="dxa"/>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1.14</w:t>
            </w:r>
          </w:p>
        </w:tc>
        <w:tc>
          <w:tcPr>
            <w:tcW w:w="108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4.42</w:t>
            </w:r>
          </w:p>
        </w:tc>
        <w:tc>
          <w:tcPr>
            <w:tcW w:w="216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7022" w:type="dxa"/>
            <w:gridSpan w:val="13"/>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644" w:type="dxa"/>
            <w:gridSpan w:val="7"/>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lang w:eastAsia="zh-CN"/>
              </w:rPr>
              <w:t>吉首市民政局</w:t>
            </w:r>
          </w:p>
        </w:tc>
        <w:tc>
          <w:tcPr>
            <w:tcW w:w="1080"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2144.62</w:t>
            </w:r>
          </w:p>
        </w:tc>
        <w:tc>
          <w:tcPr>
            <w:tcW w:w="2437"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2144.62</w:t>
            </w:r>
          </w:p>
        </w:tc>
        <w:tc>
          <w:tcPr>
            <w:tcW w:w="364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377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585" w:type="dxa"/>
            <w:gridSpan w:val="9"/>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vAlign w:val="center"/>
          </w:tcPr>
          <w:p>
            <w:pPr>
              <w:spacing w:line="320" w:lineRule="exact"/>
              <w:rPr>
                <w:rFonts w:eastAsia="仿宋_GB2312" w:cs="仿宋_GB2312"/>
                <w:sz w:val="24"/>
              </w:rPr>
            </w:pPr>
          </w:p>
        </w:tc>
        <w:tc>
          <w:tcPr>
            <w:tcW w:w="3775" w:type="dxa"/>
            <w:gridSpan w:val="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目标1：保障民政工作的顺利开展。</w:t>
            </w:r>
          </w:p>
          <w:p>
            <w:pPr>
              <w:autoSpaceDN w:val="0"/>
              <w:spacing w:line="320" w:lineRule="exact"/>
              <w:jc w:val="left"/>
              <w:textAlignment w:val="center"/>
              <w:rPr>
                <w:rFonts w:eastAsia="仿宋_GB2312" w:cs="仿宋_GB2312"/>
                <w:sz w:val="24"/>
              </w:rPr>
            </w:pPr>
            <w:r>
              <w:rPr>
                <w:rFonts w:hint="eastAsia" w:eastAsia="仿宋_GB2312" w:cs="仿宋_GB2312"/>
                <w:sz w:val="24"/>
              </w:rPr>
              <w:t>目标2：保障民政专项资金的发放。</w:t>
            </w:r>
          </w:p>
          <w:p>
            <w:pPr>
              <w:autoSpaceDN w:val="0"/>
              <w:spacing w:line="320" w:lineRule="exact"/>
              <w:jc w:val="left"/>
              <w:textAlignment w:val="center"/>
              <w:rPr>
                <w:rFonts w:eastAsia="仿宋_GB2312" w:cs="仿宋_GB2312"/>
                <w:sz w:val="24"/>
              </w:rPr>
            </w:pPr>
          </w:p>
        </w:tc>
        <w:tc>
          <w:tcPr>
            <w:tcW w:w="4585" w:type="dxa"/>
            <w:gridSpan w:val="9"/>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做到按时开展民政工作，及按时保障民政专项资金的发放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2965"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810"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89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952"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民政服务对象人数</w:t>
            </w:r>
          </w:p>
        </w:tc>
        <w:tc>
          <w:tcPr>
            <w:tcW w:w="2686" w:type="dxa"/>
            <w:gridSpan w:val="6"/>
            <w:vAlign w:val="center"/>
          </w:tcPr>
          <w:p>
            <w:pPr>
              <w:autoSpaceDN w:val="0"/>
              <w:spacing w:line="320" w:lineRule="exact"/>
              <w:jc w:val="center"/>
              <w:textAlignment w:val="center"/>
              <w:rPr>
                <w:rFonts w:hint="eastAsia" w:eastAsia="仿宋_GB2312" w:cs="仿宋_GB2312"/>
                <w:b w:val="0"/>
                <w:bCs/>
                <w:sz w:val="24"/>
                <w:lang w:eastAsia="zh-CN"/>
              </w:rPr>
            </w:pPr>
            <w:r>
              <w:rPr>
                <w:rFonts w:hint="eastAsia" w:eastAsia="仿宋_GB2312" w:cs="仿宋_GB2312"/>
                <w:b w:val="0"/>
                <w:bCs/>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资金合格率</w:t>
            </w:r>
          </w:p>
        </w:tc>
        <w:tc>
          <w:tcPr>
            <w:tcW w:w="2686" w:type="dxa"/>
            <w:gridSpan w:val="6"/>
            <w:vAlign w:val="center"/>
          </w:tcPr>
          <w:p>
            <w:pPr>
              <w:autoSpaceDN w:val="0"/>
              <w:spacing w:line="320" w:lineRule="exact"/>
              <w:jc w:val="center"/>
              <w:textAlignment w:val="center"/>
              <w:rPr>
                <w:rFonts w:eastAsia="仿宋_GB2312" w:cs="仿宋_GB2312"/>
                <w:b w:val="0"/>
                <w:bCs/>
                <w:sz w:val="24"/>
              </w:rPr>
            </w:pPr>
            <w:r>
              <w:rPr>
                <w:rFonts w:hint="eastAsia" w:eastAsia="仿宋_GB2312" w:cs="仿宋_GB2312"/>
                <w:b w:val="0"/>
                <w:bCs/>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Merge w:val="continue"/>
            <w:vAlign w:val="center"/>
          </w:tcPr>
          <w:p>
            <w:pPr>
              <w:autoSpaceDN w:val="0"/>
              <w:spacing w:line="320" w:lineRule="exact"/>
              <w:jc w:val="center"/>
              <w:textAlignment w:val="center"/>
              <w:rPr>
                <w:rFonts w:eastAsia="仿宋_GB2312" w:cs="仿宋_GB2312"/>
                <w:sz w:val="24"/>
              </w:rPr>
            </w:pP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899" w:type="dxa"/>
            <w:gridSpan w:val="3"/>
            <w:tcBorders>
              <w:left w:val="single" w:color="auto" w:sz="4" w:space="0"/>
            </w:tcBorders>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资金实效性</w:t>
            </w:r>
          </w:p>
        </w:tc>
        <w:tc>
          <w:tcPr>
            <w:tcW w:w="2686" w:type="dxa"/>
            <w:gridSpan w:val="6"/>
            <w:vAlign w:val="center"/>
          </w:tcPr>
          <w:p>
            <w:pPr>
              <w:autoSpaceDN w:val="0"/>
              <w:spacing w:line="320" w:lineRule="exact"/>
              <w:jc w:val="center"/>
              <w:textAlignment w:val="center"/>
              <w:rPr>
                <w:rFonts w:eastAsia="仿宋_GB2312" w:cs="仿宋_GB2312"/>
                <w:b w:val="0"/>
                <w:bCs/>
                <w:sz w:val="24"/>
              </w:rPr>
            </w:pPr>
            <w:r>
              <w:rPr>
                <w:rFonts w:hint="eastAsia" w:eastAsia="仿宋_GB2312" w:cs="仿宋_GB2312"/>
                <w:b w:val="0"/>
                <w:bCs/>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899" w:type="dxa"/>
            <w:gridSpan w:val="3"/>
            <w:tcBorders>
              <w:left w:val="single" w:color="auto" w:sz="4" w:space="0"/>
            </w:tcBorders>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脱贫攻坚</w:t>
            </w: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保证民政各项工作正常运行</w:t>
            </w:r>
          </w:p>
        </w:tc>
        <w:tc>
          <w:tcPr>
            <w:tcW w:w="2686" w:type="dxa"/>
            <w:gridSpan w:val="6"/>
            <w:vAlign w:val="center"/>
          </w:tcPr>
          <w:p>
            <w:pPr>
              <w:autoSpaceDN w:val="0"/>
              <w:spacing w:line="320" w:lineRule="exact"/>
              <w:jc w:val="center"/>
              <w:textAlignment w:val="center"/>
              <w:rPr>
                <w:rFonts w:hint="eastAsia" w:eastAsia="仿宋_GB2312" w:cs="仿宋_GB2312"/>
                <w:b w:val="0"/>
                <w:bCs/>
                <w:sz w:val="24"/>
                <w:lang w:eastAsia="zh-CN"/>
              </w:rPr>
            </w:pPr>
            <w:r>
              <w:rPr>
                <w:rFonts w:hint="eastAsia" w:eastAsia="仿宋_GB2312" w:cs="仿宋_GB2312"/>
                <w:b w:val="0"/>
                <w:bCs/>
                <w:sz w:val="24"/>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vAlign w:val="center"/>
          </w:tcPr>
          <w:p>
            <w:pPr>
              <w:spacing w:line="320" w:lineRule="exact"/>
              <w:rPr>
                <w:rFonts w:eastAsia="仿宋_GB2312" w:cs="仿宋_GB2312"/>
                <w:sz w:val="24"/>
              </w:rPr>
            </w:pPr>
          </w:p>
        </w:tc>
        <w:tc>
          <w:tcPr>
            <w:tcW w:w="2013" w:type="dxa"/>
            <w:gridSpan w:val="4"/>
            <w:vMerge w:val="continue"/>
            <w:vAlign w:val="center"/>
          </w:tcPr>
          <w:p>
            <w:pPr>
              <w:autoSpaceDN w:val="0"/>
              <w:spacing w:line="320" w:lineRule="exact"/>
              <w:rPr>
                <w:rFonts w:eastAsia="仿宋_GB2312" w:cs="仿宋_GB2312"/>
                <w:sz w:val="24"/>
              </w:rPr>
            </w:pPr>
          </w:p>
        </w:tc>
        <w:tc>
          <w:tcPr>
            <w:tcW w:w="9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810"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899" w:type="dxa"/>
            <w:gridSpan w:val="3"/>
            <w:tcBorders>
              <w:left w:val="single" w:color="auto" w:sz="4" w:space="0"/>
            </w:tcBorders>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lang w:eastAsia="zh-CN"/>
              </w:rPr>
              <w:t>群众</w:t>
            </w:r>
            <w:r>
              <w:rPr>
                <w:rFonts w:hint="eastAsia" w:eastAsia="仿宋_GB2312" w:cs="仿宋_GB2312"/>
                <w:sz w:val="24"/>
              </w:rPr>
              <w:t>满意度</w:t>
            </w:r>
          </w:p>
        </w:tc>
        <w:tc>
          <w:tcPr>
            <w:tcW w:w="2686" w:type="dxa"/>
            <w:gridSpan w:val="6"/>
            <w:vAlign w:val="center"/>
          </w:tcPr>
          <w:p>
            <w:pPr>
              <w:autoSpaceDN w:val="0"/>
              <w:spacing w:line="320" w:lineRule="exact"/>
              <w:jc w:val="center"/>
              <w:textAlignment w:val="center"/>
              <w:rPr>
                <w:rFonts w:hint="eastAsia" w:eastAsia="仿宋_GB2312" w:cs="仿宋_GB2312"/>
                <w:b w:val="0"/>
                <w:bCs/>
                <w:sz w:val="24"/>
                <w:lang w:eastAsia="zh-CN"/>
              </w:rPr>
            </w:pPr>
            <w:r>
              <w:rPr>
                <w:rFonts w:hint="eastAsia" w:eastAsia="仿宋_GB2312" w:cs="仿宋_GB2312"/>
                <w:b w:val="0"/>
                <w:bCs/>
                <w:sz w:val="24"/>
                <w:lang w:eastAsia="zh-CN"/>
              </w:rPr>
              <w:t>满意度较高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8148" w:type="dxa"/>
            <w:gridSpan w:val="15"/>
            <w:vAlign w:val="center"/>
          </w:tcPr>
          <w:p>
            <w:pPr>
              <w:spacing w:line="320" w:lineRule="exact"/>
              <w:ind w:firstLine="630" w:firstLineChars="300"/>
              <w:rPr>
                <w:rFonts w:hint="eastAsia" w:eastAsia="楷体_GB2312"/>
                <w:lang w:eastAsia="zh-CN"/>
              </w:rPr>
            </w:pPr>
            <w:r>
              <w:rPr>
                <w:rFonts w:hint="eastAsia" w:eastAsia="楷体_GB2312"/>
              </w:rPr>
              <w:t>评分：</w:t>
            </w:r>
            <w:r>
              <w:rPr>
                <w:rFonts w:hint="eastAsia" w:eastAsia="楷体_GB2312"/>
                <w:lang w:val="en-US" w:eastAsia="zh-CN"/>
              </w:rPr>
              <w:t>96</w:t>
            </w:r>
            <w:r>
              <w:rPr>
                <w:rFonts w:hint="eastAsia" w:eastAsia="楷体_GB2312"/>
              </w:rPr>
              <w:t xml:space="preserve">                            等级：</w:t>
            </w:r>
            <w:r>
              <w:rPr>
                <w:rFonts w:hint="eastAsia" w:eastAsia="楷体_GB2312"/>
                <w:lang w:eastAsia="zh-CN"/>
              </w:rPr>
              <w:t>优</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356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47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邓克兴</w:t>
            </w:r>
          </w:p>
        </w:tc>
        <w:tc>
          <w:tcPr>
            <w:tcW w:w="3563"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局长</w:t>
            </w:r>
          </w:p>
        </w:tc>
        <w:tc>
          <w:tcPr>
            <w:tcW w:w="1479" w:type="dxa"/>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吉首市民政局</w:t>
            </w: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滕轩宵</w:t>
            </w:r>
          </w:p>
        </w:tc>
        <w:tc>
          <w:tcPr>
            <w:tcW w:w="3563"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副局长</w:t>
            </w:r>
          </w:p>
        </w:tc>
        <w:tc>
          <w:tcPr>
            <w:tcW w:w="1479" w:type="dxa"/>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吉首市民政局</w:t>
            </w:r>
          </w:p>
        </w:tc>
        <w:tc>
          <w:tcPr>
            <w:tcW w:w="3106" w:type="dxa"/>
            <w:gridSpan w:val="8"/>
            <w:vAlign w:val="center"/>
          </w:tcPr>
          <w:p>
            <w:pPr>
              <w:autoSpaceDN w:val="0"/>
              <w:spacing w:line="320" w:lineRule="exact"/>
              <w:jc w:val="center"/>
              <w:textAlignment w:val="center"/>
              <w:rPr>
                <w:rFonts w:eastAsia="仿宋_GB2312" w:cs="仿宋_GB2312"/>
                <w:sz w:val="24"/>
              </w:rPr>
            </w:pPr>
          </w:p>
        </w:tc>
      </w:tr>
    </w:tbl>
    <w:p>
      <w:pPr>
        <w:spacing w:line="560" w:lineRule="exact"/>
        <w:jc w:val="both"/>
        <w:rPr>
          <w:rFonts w:eastAsia="方正小标宋_GBK"/>
          <w:sz w:val="36"/>
          <w:szCs w:val="36"/>
        </w:rPr>
      </w:pP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9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jc w:val="left"/>
              <w:textAlignment w:val="center"/>
              <w:rPr>
                <w:rFonts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tbl>
      <w:tblPr>
        <w:tblStyle w:val="9"/>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ind w:left="5250"/>
              <w:jc w:val="center"/>
              <w:rPr>
                <w:rFonts w:eastAsia="方正小标宋_GBK"/>
                <w:kern w:val="0"/>
                <w:sz w:val="36"/>
                <w:szCs w:val="36"/>
              </w:rPr>
            </w:pPr>
          </w:p>
        </w:tc>
      </w:tr>
    </w:tbl>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spacing w:line="560" w:lineRule="exact"/>
        <w:jc w:val="center"/>
        <w:rPr>
          <w:rFonts w:eastAsia="方正小标宋_GBK"/>
          <w:sz w:val="36"/>
          <w:szCs w:val="36"/>
        </w:rPr>
      </w:pPr>
    </w:p>
    <w:p>
      <w:pPr>
        <w:jc w:val="center"/>
        <w:rPr>
          <w:rFonts w:hint="eastAsia" w:eastAsia="方正小标宋简体" w:cs="Arial"/>
          <w:bCs/>
          <w:sz w:val="44"/>
          <w:szCs w:val="44"/>
          <w:lang w:eastAsia="zh-CN"/>
        </w:rPr>
      </w:pPr>
      <w:r>
        <w:rPr>
          <w:rFonts w:hint="eastAsia" w:eastAsia="方正小标宋简体" w:cs="Arial"/>
          <w:bCs/>
          <w:sz w:val="44"/>
          <w:szCs w:val="44"/>
        </w:rPr>
        <w:br w:type="page"/>
      </w:r>
      <w:r>
        <w:rPr>
          <w:rFonts w:hint="eastAsia" w:eastAsia="方正小标宋简体" w:cs="Arial"/>
          <w:bCs/>
          <w:sz w:val="44"/>
          <w:szCs w:val="44"/>
          <w:lang w:eastAsia="zh-CN"/>
        </w:rPr>
        <w:t>吉首市民政局</w:t>
      </w:r>
    </w:p>
    <w:p>
      <w:pPr>
        <w:spacing w:line="578" w:lineRule="atLeast"/>
        <w:jc w:val="center"/>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pPr>
        <w:spacing w:line="600" w:lineRule="exact"/>
        <w:ind w:firstLine="640" w:firstLineChars="200"/>
        <w:rPr>
          <w:rFonts w:hint="eastAsia" w:eastAsia="仿宋_GB2312"/>
          <w:sz w:val="32"/>
          <w:szCs w:val="32"/>
          <w:lang w:eastAsia="zh-CN"/>
        </w:rPr>
      </w:pPr>
      <w:r>
        <w:rPr>
          <w:rFonts w:eastAsia="仿宋_GB2312"/>
          <w:sz w:val="32"/>
          <w:szCs w:val="32"/>
        </w:rPr>
        <w:t xml:space="preserve">职能职责 </w:t>
      </w:r>
      <w:r>
        <w:rPr>
          <w:rFonts w:hint="eastAsia" w:eastAsia="仿宋_GB2312"/>
          <w:sz w:val="32"/>
          <w:szCs w:val="32"/>
          <w:lang w:eastAsia="zh-CN"/>
        </w:rPr>
        <w:t>：</w:t>
      </w:r>
    </w:p>
    <w:p>
      <w:pPr>
        <w:spacing w:line="600" w:lineRule="exact"/>
        <w:ind w:firstLine="640" w:firstLineChars="200"/>
        <w:rPr>
          <w:rFonts w:eastAsia="仿宋_GB2312"/>
          <w:sz w:val="32"/>
          <w:szCs w:val="32"/>
        </w:rPr>
      </w:pPr>
      <w:r>
        <w:rPr>
          <w:rFonts w:eastAsia="仿宋_GB2312"/>
          <w:sz w:val="32"/>
          <w:szCs w:val="32"/>
        </w:rPr>
        <w:t>1、制定全市民政事业中、长期发展规划和年度工作计划，贯 彻执行民政工作方针、政策和法规，并组织实施和监督检查。</w:t>
      </w:r>
    </w:p>
    <w:p>
      <w:pPr>
        <w:spacing w:line="600" w:lineRule="exact"/>
        <w:ind w:firstLine="320" w:firstLineChars="1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 xml:space="preserve">2、建立和实施城乡居民最低生活保障制度，按规定管理和安 排使用中央、省、州、市下拨的保障金;协调、指导开展社会救助 工作;组织和指导扶贫济困等社会互助活动;指导农村五保户供养和 敬老院建设。 </w:t>
      </w:r>
    </w:p>
    <w:p>
      <w:pPr>
        <w:spacing w:line="600" w:lineRule="exact"/>
        <w:ind w:firstLine="640" w:firstLineChars="200"/>
        <w:rPr>
          <w:rFonts w:eastAsia="仿宋_GB2312"/>
          <w:sz w:val="32"/>
          <w:szCs w:val="32"/>
        </w:rPr>
      </w:pPr>
      <w:r>
        <w:rPr>
          <w:rFonts w:eastAsia="仿宋_GB2312"/>
          <w:sz w:val="32"/>
          <w:szCs w:val="32"/>
        </w:rPr>
        <w:t>3、负责全市性社会团体组织的成立、变更、登记管理和年检 工作;查处社团组织的违法行为和未经登记而以社团名义开展活动 的非法组织:指导社团组织依法开展活动。</w:t>
      </w:r>
    </w:p>
    <w:p>
      <w:pPr>
        <w:spacing w:line="600" w:lineRule="exact"/>
        <w:ind w:firstLine="640" w:firstLineChars="200"/>
        <w:rPr>
          <w:rFonts w:eastAsia="仿宋_GB2312"/>
          <w:sz w:val="32"/>
          <w:szCs w:val="32"/>
        </w:rPr>
      </w:pPr>
      <w:r>
        <w:rPr>
          <w:rFonts w:eastAsia="仿宋_GB2312"/>
          <w:sz w:val="32"/>
          <w:szCs w:val="32"/>
        </w:rPr>
        <w:t xml:space="preserve"> 4、负责全市性民办非企业单位的登记和年检工作;查处民办非 企业单位的违法行为和未经登记的民办非企业单位:指导民办非企 业单位依法开展活动。注重培育和发展农村专业经济协会，促进农 村产业发展。</w:t>
      </w:r>
    </w:p>
    <w:p>
      <w:pPr>
        <w:spacing w:line="600" w:lineRule="exact"/>
        <w:ind w:firstLine="640" w:firstLineChars="200"/>
        <w:rPr>
          <w:rFonts w:eastAsia="仿宋_GB2312"/>
          <w:sz w:val="32"/>
          <w:szCs w:val="32"/>
        </w:rPr>
      </w:pPr>
      <w:r>
        <w:rPr>
          <w:rFonts w:eastAsia="仿宋_GB2312"/>
          <w:sz w:val="32"/>
          <w:szCs w:val="32"/>
        </w:rPr>
        <w:t xml:space="preserve"> 5、完善老区扶贫机制，做好老区项目申报、建设、督查工作 ，管理老区项目资金。</w:t>
      </w:r>
    </w:p>
    <w:p>
      <w:pPr>
        <w:spacing w:line="600" w:lineRule="exact"/>
        <w:ind w:firstLine="640" w:firstLineChars="200"/>
        <w:rPr>
          <w:rFonts w:eastAsia="仿宋_GB2312"/>
          <w:sz w:val="32"/>
          <w:szCs w:val="32"/>
        </w:rPr>
      </w:pPr>
      <w:r>
        <w:rPr>
          <w:rFonts w:eastAsia="仿宋_GB2312"/>
          <w:sz w:val="32"/>
          <w:szCs w:val="32"/>
        </w:rPr>
        <w:t xml:space="preserve"> 6、指导城乡基层政权建设工作:指导村民委员会民主选举、民 主决策、民主管理和民主监督工作;推动村务公开和基层民主政治 建设;指导城市社区居民委员会建设;指导社区服务管理工作，推动 社区建设。</w:t>
      </w:r>
    </w:p>
    <w:p>
      <w:pPr>
        <w:spacing w:line="600" w:lineRule="exact"/>
        <w:ind w:firstLine="640" w:firstLineChars="200"/>
        <w:rPr>
          <w:rFonts w:eastAsia="仿宋_GB2312"/>
          <w:sz w:val="32"/>
          <w:szCs w:val="32"/>
        </w:rPr>
      </w:pPr>
      <w:r>
        <w:rPr>
          <w:rFonts w:eastAsia="仿宋_GB2312"/>
          <w:sz w:val="32"/>
          <w:szCs w:val="32"/>
        </w:rPr>
        <w:t xml:space="preserve"> 7、负责全市婚姻登记管理工作，指导、监督全市婚姻服务活 动，倡导婚姻习俗改革。</w:t>
      </w:r>
    </w:p>
    <w:p>
      <w:pPr>
        <w:spacing w:line="600" w:lineRule="exact"/>
        <w:ind w:firstLine="640" w:firstLineChars="200"/>
        <w:rPr>
          <w:rFonts w:eastAsia="仿宋_GB2312"/>
          <w:sz w:val="32"/>
          <w:szCs w:val="32"/>
        </w:rPr>
      </w:pPr>
      <w:r>
        <w:rPr>
          <w:rFonts w:eastAsia="仿宋_GB2312"/>
          <w:sz w:val="32"/>
          <w:szCs w:val="32"/>
        </w:rPr>
        <w:t xml:space="preserve"> 8、承办市人民政府交办的行政区划的有关工作，负责市、乡 镇、街道的设立、撤销、更名和界线变更的报批;研究和修订行政 区域规划;负责乡镇、村行政区域边界的勘定和管理及边界争议的 调处工作;参与上级组织的县市行政区域边界的勘定工作。</w:t>
      </w:r>
    </w:p>
    <w:p>
      <w:pPr>
        <w:spacing w:line="600" w:lineRule="exact"/>
        <w:ind w:firstLine="640" w:firstLineChars="2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9、负责规定权限内地名命名、更名的拟定和报批工作;规范全 市地名标志的设置和管理;组织建立和管理地名资料档案。</w:t>
      </w:r>
    </w:p>
    <w:p>
      <w:pPr>
        <w:spacing w:line="600" w:lineRule="exact"/>
        <w:ind w:firstLine="640" w:firstLineChars="200"/>
        <w:rPr>
          <w:rFonts w:eastAsia="仿宋_GB2312"/>
          <w:sz w:val="32"/>
          <w:szCs w:val="32"/>
        </w:rPr>
      </w:pPr>
      <w:r>
        <w:rPr>
          <w:rFonts w:eastAsia="仿宋_GB2312"/>
          <w:sz w:val="32"/>
          <w:szCs w:val="32"/>
        </w:rPr>
        <w:t xml:space="preserve"> 10、组织实施全市社会福利发展规划，指导全市社会福利事业 单位的建设管理工作，承担孤儿、困境儿童等特殊困难群体权益保 护的行政管理工作;指导残疾人的权益保障工作;负责全市福利彩票 发行管理工作，管理本级福利资金并监督使用。</w:t>
      </w:r>
    </w:p>
    <w:p>
      <w:pPr>
        <w:spacing w:line="600" w:lineRule="exact"/>
        <w:ind w:firstLine="640" w:firstLineChars="200"/>
        <w:rPr>
          <w:rFonts w:eastAsia="仿宋_GB2312"/>
          <w:sz w:val="32"/>
          <w:szCs w:val="32"/>
        </w:rPr>
      </w:pPr>
      <w:r>
        <w:rPr>
          <w:rFonts w:eastAsia="仿宋_GB2312"/>
          <w:sz w:val="32"/>
          <w:szCs w:val="32"/>
        </w:rPr>
        <w:t xml:space="preserve"> 11、贯彻落实老年人、孤弃儿童、困境儿童、“三留守”(留 守儿童、留守老人、留守妇女)人员等特殊困难群体权益保护政策; 负责全市儿童收养工作，依法办理收养登记;负责特困人员救助供 养机构和社会福利机构管理工作;指导社会办养老政策衔接落实;统 筹推进未成年人保护工作。 </w:t>
      </w:r>
    </w:p>
    <w:p>
      <w:pPr>
        <w:spacing w:line="600" w:lineRule="exact"/>
        <w:ind w:firstLine="640" w:firstLineChars="200"/>
        <w:rPr>
          <w:rFonts w:eastAsia="仿宋_GB2312"/>
          <w:sz w:val="32"/>
          <w:szCs w:val="32"/>
        </w:rPr>
      </w:pPr>
      <w:r>
        <w:rPr>
          <w:rFonts w:eastAsia="仿宋_GB2312"/>
          <w:sz w:val="32"/>
          <w:szCs w:val="32"/>
        </w:rPr>
        <w:t>12、推行殡葬改革，负责全市殡葬管理工作，负责全市公益性 公墓建设;负责审核上报经营性公墓;倡导文明丧葬习俗。</w:t>
      </w:r>
    </w:p>
    <w:p>
      <w:pPr>
        <w:spacing w:line="600" w:lineRule="exact"/>
        <w:ind w:firstLine="640" w:firstLineChars="200"/>
        <w:rPr>
          <w:rFonts w:eastAsia="仿宋_GB2312"/>
          <w:sz w:val="32"/>
          <w:szCs w:val="32"/>
        </w:rPr>
      </w:pPr>
      <w:r>
        <w:rPr>
          <w:rFonts w:eastAsia="仿宋_GB2312"/>
          <w:sz w:val="32"/>
          <w:szCs w:val="32"/>
        </w:rPr>
        <w:t xml:space="preserve"> 13、负责全市流浪气讨人员的救助管理工作:负责全市救助站 的建设和管理。 </w:t>
      </w:r>
    </w:p>
    <w:p>
      <w:pPr>
        <w:spacing w:line="600" w:lineRule="exact"/>
        <w:ind w:firstLine="640" w:firstLineChars="200"/>
        <w:rPr>
          <w:rFonts w:eastAsia="仿宋_GB2312"/>
          <w:sz w:val="32"/>
          <w:szCs w:val="32"/>
        </w:rPr>
      </w:pPr>
      <w:r>
        <w:rPr>
          <w:rFonts w:eastAsia="仿宋_GB2312"/>
          <w:sz w:val="32"/>
          <w:szCs w:val="32"/>
        </w:rPr>
        <w:t xml:space="preserve">14、负责民政事业财务、国有资产管理和统计、审计工作管理 全市民政事业经费;指导、监督民政事业费的使用。 </w:t>
      </w:r>
    </w:p>
    <w:p>
      <w:pPr>
        <w:spacing w:line="600" w:lineRule="exact"/>
        <w:ind w:firstLine="640" w:firstLineChars="200"/>
        <w:rPr>
          <w:rFonts w:eastAsia="仿宋_GB2312"/>
          <w:sz w:val="32"/>
          <w:szCs w:val="32"/>
        </w:rPr>
      </w:pPr>
      <w:r>
        <w:rPr>
          <w:rFonts w:eastAsia="仿宋_GB2312"/>
          <w:sz w:val="32"/>
          <w:szCs w:val="32"/>
        </w:rPr>
        <w:t>15、承办市委、市人民政府交办的其他事项。</w:t>
      </w:r>
    </w:p>
    <w:p>
      <w:pPr>
        <w:spacing w:line="600" w:lineRule="exact"/>
        <w:ind w:firstLine="960" w:firstLineChars="300"/>
        <w:rPr>
          <w:rFonts w:hint="eastAsia" w:eastAsia="仿宋_GB2312"/>
          <w:sz w:val="32"/>
          <w:szCs w:val="32"/>
          <w:lang w:eastAsia="zh-CN"/>
        </w:rPr>
      </w:pPr>
      <w:r>
        <w:rPr>
          <w:rFonts w:eastAsia="仿宋_GB2312"/>
          <w:sz w:val="32"/>
          <w:szCs w:val="32"/>
        </w:rPr>
        <w:t>机构设置</w:t>
      </w:r>
      <w:r>
        <w:rPr>
          <w:rFonts w:hint="eastAsia" w:eastAsia="仿宋_GB2312"/>
          <w:sz w:val="32"/>
          <w:szCs w:val="32"/>
          <w:lang w:eastAsia="zh-CN"/>
        </w:rPr>
        <w:t>：</w:t>
      </w:r>
    </w:p>
    <w:p>
      <w:pPr>
        <w:spacing w:line="600" w:lineRule="exact"/>
        <w:ind w:firstLine="640" w:firstLineChars="200"/>
        <w:rPr>
          <w:rFonts w:hint="eastAsia" w:eastAsia="仿宋_GB2312"/>
          <w:sz w:val="32"/>
          <w:szCs w:val="32"/>
          <w:lang w:val="en-US" w:eastAsia="zh-CN"/>
        </w:rPr>
      </w:pPr>
      <w:r>
        <w:rPr>
          <w:rFonts w:eastAsia="仿宋_GB2312"/>
          <w:sz w:val="32"/>
          <w:szCs w:val="32"/>
        </w:rPr>
        <w:t>本单位共有编制人数</w:t>
      </w:r>
      <w:r>
        <w:rPr>
          <w:rFonts w:hint="eastAsia" w:eastAsia="仿宋_GB2312"/>
          <w:sz w:val="32"/>
          <w:szCs w:val="32"/>
          <w:lang w:val="en-US" w:eastAsia="zh-CN"/>
        </w:rPr>
        <w:t>50</w:t>
      </w:r>
      <w:r>
        <w:rPr>
          <w:rFonts w:eastAsia="仿宋_GB2312"/>
          <w:sz w:val="32"/>
          <w:szCs w:val="32"/>
        </w:rPr>
        <w:t>人，实有人数</w:t>
      </w:r>
      <w:r>
        <w:rPr>
          <w:rFonts w:hint="eastAsia" w:eastAsia="仿宋_GB2312"/>
          <w:sz w:val="32"/>
          <w:szCs w:val="32"/>
          <w:lang w:val="en-US" w:eastAsia="zh-CN"/>
        </w:rPr>
        <w:t>50</w:t>
      </w:r>
      <w:r>
        <w:rPr>
          <w:rFonts w:eastAsia="仿宋_GB2312"/>
          <w:sz w:val="32"/>
          <w:szCs w:val="32"/>
        </w:rPr>
        <w:t>人。内设机构4个，分 别为：办公室</w:t>
      </w:r>
      <w:r>
        <w:rPr>
          <w:rFonts w:hint="eastAsia" w:eastAsia="仿宋_GB2312"/>
          <w:sz w:val="32"/>
          <w:szCs w:val="32"/>
          <w:lang w:eastAsia="zh-CN"/>
        </w:rPr>
        <w:t>、</w:t>
      </w:r>
      <w:r>
        <w:rPr>
          <w:rFonts w:eastAsia="仿宋_GB2312"/>
          <w:sz w:val="32"/>
          <w:szCs w:val="32"/>
        </w:rPr>
        <w:t>社会事务股</w:t>
      </w:r>
      <w:r>
        <w:rPr>
          <w:rFonts w:hint="eastAsia" w:eastAsia="仿宋_GB2312"/>
          <w:sz w:val="32"/>
          <w:szCs w:val="32"/>
          <w:lang w:eastAsia="zh-CN"/>
        </w:rPr>
        <w:t>、</w:t>
      </w:r>
      <w:r>
        <w:rPr>
          <w:rFonts w:eastAsia="仿宋_GB2312"/>
          <w:sz w:val="32"/>
          <w:szCs w:val="32"/>
        </w:rPr>
        <w:t>基层政权和社会治理股</w:t>
      </w:r>
      <w:r>
        <w:rPr>
          <w:rFonts w:hint="eastAsia" w:eastAsia="仿宋_GB2312"/>
          <w:sz w:val="32"/>
          <w:szCs w:val="32"/>
          <w:lang w:eastAsia="zh-CN"/>
        </w:rPr>
        <w:t>、</w:t>
      </w:r>
      <w:r>
        <w:rPr>
          <w:rFonts w:eastAsia="仿宋_GB2312"/>
          <w:sz w:val="32"/>
          <w:szCs w:val="32"/>
        </w:rPr>
        <w:t>社会救助股</w:t>
      </w:r>
      <w:r>
        <w:rPr>
          <w:rFonts w:hint="eastAsia" w:eastAsia="仿宋_GB2312"/>
          <w:sz w:val="32"/>
          <w:szCs w:val="32"/>
          <w:lang w:eastAsia="zh-CN"/>
        </w:rPr>
        <w:t>。</w:t>
      </w:r>
    </w:p>
    <w:p>
      <w:pPr>
        <w:numPr>
          <w:ilvl w:val="0"/>
          <w:numId w:val="1"/>
        </w:numPr>
        <w:spacing w:line="600" w:lineRule="exact"/>
        <w:ind w:firstLine="321" w:firstLineChars="100"/>
        <w:rPr>
          <w:rFonts w:eastAsia="楷体_GB2312"/>
          <w:b/>
          <w:bCs/>
          <w:sz w:val="32"/>
          <w:szCs w:val="32"/>
        </w:rPr>
      </w:pPr>
      <w:r>
        <w:rPr>
          <w:rFonts w:eastAsia="楷体_GB2312"/>
          <w:b/>
          <w:bCs/>
          <w:sz w:val="32"/>
          <w:szCs w:val="32"/>
        </w:rPr>
        <w:t>部门（单位）年度整体支出绩效目标</w:t>
      </w:r>
      <w:r>
        <w:rPr>
          <w:rFonts w:hint="eastAsia" w:eastAsia="楷体_GB2312"/>
          <w:b/>
          <w:bCs/>
          <w:sz w:val="32"/>
          <w:szCs w:val="32"/>
        </w:rPr>
        <w:t>、</w:t>
      </w:r>
      <w:r>
        <w:rPr>
          <w:rFonts w:hint="eastAsia"/>
          <w:b/>
          <w:bCs/>
          <w:sz w:val="32"/>
          <w:szCs w:val="32"/>
        </w:rPr>
        <w:t>市</w:t>
      </w:r>
      <w:r>
        <w:rPr>
          <w:rFonts w:eastAsia="楷体_GB2312"/>
          <w:b/>
          <w:bCs/>
          <w:sz w:val="32"/>
          <w:szCs w:val="32"/>
        </w:rPr>
        <w:t>级专项资金绩效目标</w:t>
      </w:r>
    </w:p>
    <w:p>
      <w:pPr>
        <w:pStyle w:val="7"/>
        <w:widowControl/>
        <w:spacing w:beforeAutospacing="0" w:afterAutospacing="0" w:line="560" w:lineRule="exact"/>
        <w:ind w:firstLine="640" w:firstLineChars="200"/>
        <w:jc w:val="both"/>
        <w:rPr>
          <w:rFonts w:ascii="仿宋" w:hAnsi="仿宋" w:eastAsia="仿宋" w:cs="宋体"/>
          <w:color w:val="333333"/>
        </w:rPr>
      </w:pPr>
      <w:r>
        <w:rPr>
          <w:rFonts w:hint="eastAsia" w:ascii="仿宋" w:hAnsi="仿宋" w:eastAsia="仿宋" w:cs="仿宋"/>
          <w:color w:val="000000"/>
          <w:sz w:val="32"/>
          <w:szCs w:val="32"/>
        </w:rPr>
        <w:t>牢固树立</w:t>
      </w:r>
      <w:r>
        <w:rPr>
          <w:rFonts w:ascii="仿宋" w:hAnsi="仿宋" w:eastAsia="仿宋"/>
          <w:color w:val="000000"/>
          <w:sz w:val="32"/>
          <w:szCs w:val="32"/>
        </w:rPr>
        <w:t>“</w:t>
      </w:r>
      <w:r>
        <w:rPr>
          <w:rFonts w:hint="eastAsia" w:ascii="仿宋" w:hAnsi="仿宋" w:eastAsia="仿宋" w:cs="仿宋"/>
          <w:color w:val="000000"/>
          <w:sz w:val="32"/>
          <w:szCs w:val="32"/>
        </w:rPr>
        <w:t>民政为民，民政爱民</w:t>
      </w:r>
      <w:r>
        <w:rPr>
          <w:rFonts w:ascii="仿宋" w:hAnsi="仿宋" w:eastAsia="仿宋"/>
          <w:color w:val="000000"/>
          <w:sz w:val="32"/>
          <w:szCs w:val="32"/>
        </w:rPr>
        <w:t>”</w:t>
      </w:r>
      <w:r>
        <w:rPr>
          <w:rFonts w:hint="eastAsia" w:ascii="仿宋" w:hAnsi="仿宋" w:eastAsia="仿宋" w:cs="仿宋"/>
          <w:color w:val="000000"/>
          <w:sz w:val="32"/>
          <w:szCs w:val="32"/>
        </w:rPr>
        <w:t>的工作理念，以</w:t>
      </w:r>
      <w:r>
        <w:rPr>
          <w:rFonts w:ascii="仿宋" w:hAnsi="仿宋" w:eastAsia="仿宋"/>
          <w:color w:val="000000"/>
          <w:sz w:val="32"/>
          <w:szCs w:val="32"/>
        </w:rPr>
        <w:t>“</w:t>
      </w:r>
      <w:r>
        <w:rPr>
          <w:rFonts w:hint="eastAsia" w:ascii="仿宋" w:hAnsi="仿宋" w:eastAsia="仿宋" w:cs="仿宋"/>
          <w:color w:val="000000"/>
          <w:sz w:val="32"/>
          <w:szCs w:val="32"/>
        </w:rPr>
        <w:t>五化</w:t>
      </w:r>
      <w:r>
        <w:rPr>
          <w:rFonts w:ascii="仿宋" w:hAnsi="仿宋" w:eastAsia="仿宋"/>
          <w:color w:val="000000"/>
          <w:sz w:val="32"/>
          <w:szCs w:val="32"/>
        </w:rPr>
        <w:t>”</w:t>
      </w:r>
      <w:r>
        <w:rPr>
          <w:rFonts w:hint="eastAsia" w:ascii="仿宋" w:hAnsi="仿宋" w:eastAsia="仿宋" w:cs="仿宋"/>
          <w:color w:val="000000"/>
          <w:sz w:val="32"/>
          <w:szCs w:val="32"/>
        </w:rPr>
        <w:t>民政建设为统揽，切实履行</w:t>
      </w:r>
      <w:r>
        <w:rPr>
          <w:rFonts w:ascii="仿宋" w:hAnsi="仿宋" w:eastAsia="仿宋"/>
          <w:color w:val="000000"/>
          <w:sz w:val="32"/>
          <w:szCs w:val="32"/>
        </w:rPr>
        <w:t>“</w:t>
      </w:r>
      <w:r>
        <w:rPr>
          <w:rFonts w:hint="eastAsia" w:ascii="仿宋" w:hAnsi="仿宋" w:eastAsia="仿宋" w:cs="仿宋"/>
          <w:color w:val="000000"/>
          <w:sz w:val="32"/>
          <w:szCs w:val="32"/>
        </w:rPr>
        <w:t>解决民生、落实民权、维护民利</w:t>
      </w:r>
      <w:r>
        <w:rPr>
          <w:rFonts w:ascii="仿宋" w:hAnsi="仿宋" w:eastAsia="仿宋"/>
          <w:color w:val="000000"/>
          <w:sz w:val="32"/>
          <w:szCs w:val="32"/>
        </w:rPr>
        <w:t>”</w:t>
      </w:r>
      <w:r>
        <w:rPr>
          <w:rFonts w:hint="eastAsia" w:ascii="仿宋" w:hAnsi="仿宋" w:eastAsia="仿宋" w:cs="仿宋"/>
          <w:color w:val="000000"/>
          <w:sz w:val="32"/>
          <w:szCs w:val="32"/>
        </w:rPr>
        <w:t>的核心职责，充分发挥</w:t>
      </w:r>
      <w:r>
        <w:rPr>
          <w:rFonts w:ascii="仿宋" w:hAnsi="仿宋" w:eastAsia="仿宋"/>
          <w:color w:val="000000"/>
          <w:sz w:val="32"/>
          <w:szCs w:val="32"/>
        </w:rPr>
        <w:t>“</w:t>
      </w:r>
      <w:r>
        <w:rPr>
          <w:rFonts w:hint="eastAsia" w:ascii="仿宋" w:hAnsi="仿宋" w:eastAsia="仿宋" w:cs="仿宋"/>
          <w:color w:val="000000"/>
          <w:sz w:val="32"/>
          <w:szCs w:val="32"/>
        </w:rPr>
        <w:t>维护稳定、促进和谐</w:t>
      </w:r>
      <w:r>
        <w:rPr>
          <w:rFonts w:ascii="仿宋" w:hAnsi="仿宋" w:eastAsia="仿宋"/>
          <w:color w:val="000000"/>
          <w:sz w:val="32"/>
          <w:szCs w:val="32"/>
        </w:rPr>
        <w:t>”</w:t>
      </w:r>
      <w:r>
        <w:rPr>
          <w:rFonts w:hint="eastAsia" w:ascii="仿宋" w:hAnsi="仿宋" w:eastAsia="仿宋" w:cs="仿宋"/>
          <w:color w:val="000000"/>
          <w:sz w:val="32"/>
          <w:szCs w:val="32"/>
        </w:rPr>
        <w:t>的核心作用。进一步巩固完善社会救助保障体系，进一步提升基层政权建设和社区治理水平，增强社会福利和慈善事业发展推动社会组织、社工服务健康发展，进一步提升公共事务管理服务水平，进一步提高民政综合能力。</w:t>
      </w:r>
    </w:p>
    <w:p>
      <w:pPr>
        <w:spacing w:line="600" w:lineRule="exact"/>
        <w:ind w:firstLine="640" w:firstLineChars="200"/>
        <w:rPr>
          <w:rFonts w:eastAsia="黑体"/>
          <w:sz w:val="32"/>
          <w:szCs w:val="32"/>
        </w:rPr>
      </w:pPr>
      <w:r>
        <w:rPr>
          <w:rFonts w:eastAsia="黑体"/>
          <w:sz w:val="32"/>
          <w:szCs w:val="32"/>
        </w:rPr>
        <w:t>二、一般公共预算支出情况</w:t>
      </w:r>
    </w:p>
    <w:p>
      <w:pPr>
        <w:pStyle w:val="16"/>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pStyle w:val="16"/>
        <w:spacing w:line="600" w:lineRule="exact"/>
        <w:ind w:firstLine="643"/>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了保障我单位日常工作正常运转，各个项目有序开展，我单位资金使用情况年终决算数为11440.56万元,基本为1877.25万元，人员经费1746.85万元，公用经费130.40万元。</w:t>
      </w:r>
    </w:p>
    <w:p>
      <w:pPr>
        <w:pStyle w:val="16"/>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根据预算绩效管理要求，我单位组织对202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年一般公共预算项目支出全面开展绩效自评。1、奖补类项目 </w:t>
      </w:r>
      <w:r>
        <w:rPr>
          <w:rFonts w:hint="eastAsia" w:ascii="仿宋" w:hAnsi="仿宋" w:eastAsia="仿宋" w:cs="仿宋"/>
          <w:sz w:val="28"/>
          <w:szCs w:val="28"/>
          <w:lang w:val="en-US" w:eastAsia="zh-CN"/>
        </w:rPr>
        <w:t>25</w:t>
      </w:r>
      <w:r>
        <w:rPr>
          <w:rFonts w:hint="eastAsia" w:ascii="仿宋" w:hAnsi="仿宋" w:eastAsia="仿宋" w:cs="仿宋"/>
          <w:sz w:val="28"/>
          <w:szCs w:val="28"/>
        </w:rPr>
        <w:t xml:space="preserve"> 个(所有项目包含中央、省、州、县本级项目），共涉及资金 </w:t>
      </w:r>
      <w:r>
        <w:rPr>
          <w:rFonts w:hint="eastAsia" w:ascii="仿宋" w:hAnsi="仿宋" w:eastAsia="仿宋" w:cs="仿宋"/>
          <w:sz w:val="28"/>
          <w:szCs w:val="28"/>
          <w:lang w:val="en-US" w:eastAsia="zh-CN"/>
        </w:rPr>
        <w:t>9563.31</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spacing w:line="600" w:lineRule="exact"/>
        <w:ind w:firstLine="560" w:firstLineChars="200"/>
        <w:rPr>
          <w:rFonts w:hint="eastAsia" w:ascii="仿宋" w:hAnsi="仿宋" w:eastAsia="仿宋" w:cs="仿宋"/>
          <w:sz w:val="28"/>
          <w:szCs w:val="28"/>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006"/>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支出项目类别</w:t>
            </w:r>
          </w:p>
        </w:tc>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支出项目名称</w:t>
            </w:r>
          </w:p>
        </w:tc>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项目支出（万元）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民政管理事务</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吉首市基层政权和社区建设</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吉首社区治理</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临时救助</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社工经费</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慈善工作</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婚姻登记信息录入</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福彩公益金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市民抚恤</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孤儿资金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老龄事务</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殡葬改革</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敬老院资金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残疾人两项补贴</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1095.62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城市低保户</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1817.33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农村低保户</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2,807.11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救助工作</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362.10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流浪乞讨工作</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特困资金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精简退职</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城市特困人员医疗兜底救助</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福利厂经费</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遗属生活费</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互肋养老设施建设资金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春节慰问金</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012" w:type="dxa"/>
            <w:gridSpan w:val="2"/>
          </w:tcPr>
          <w:p>
            <w:pPr>
              <w:tabs>
                <w:tab w:val="left" w:pos="642"/>
              </w:tabs>
              <w:spacing w:line="60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合计：</w:t>
            </w:r>
          </w:p>
        </w:tc>
        <w:tc>
          <w:tcPr>
            <w:tcW w:w="3006" w:type="dxa"/>
          </w:tcPr>
          <w:p>
            <w:pPr>
              <w:tabs>
                <w:tab w:val="left" w:pos="642"/>
              </w:tabs>
              <w:spacing w:line="600" w:lineRule="exac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9563.31</w:t>
            </w:r>
          </w:p>
        </w:tc>
      </w:tr>
    </w:tbl>
    <w:p>
      <w:pPr>
        <w:spacing w:line="600" w:lineRule="exact"/>
        <w:ind w:firstLine="560" w:firstLineChars="200"/>
        <w:rPr>
          <w:rFonts w:hint="eastAsia" w:ascii="仿宋" w:hAnsi="仿宋" w:eastAsia="仿宋" w:cs="仿宋"/>
          <w:sz w:val="28"/>
          <w:szCs w:val="28"/>
          <w:lang w:eastAsia="zh-CN"/>
        </w:rPr>
      </w:pPr>
    </w:p>
    <w:p>
      <w:pPr>
        <w:pStyle w:val="16"/>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16"/>
        <w:numPr>
          <w:ilvl w:val="0"/>
          <w:numId w:val="0"/>
        </w:numPr>
        <w:spacing w:line="600" w:lineRule="exact"/>
        <w:ind w:firstLine="560" w:firstLineChars="200"/>
        <w:rPr>
          <w:rFonts w:ascii="Times New Roman" w:hAnsi="Times New Roman" w:eastAsia="黑体"/>
          <w:sz w:val="32"/>
          <w:szCs w:val="32"/>
        </w:rPr>
      </w:pPr>
      <w:r>
        <w:rPr>
          <w:rFonts w:hint="eastAsia" w:ascii="仿宋" w:hAnsi="仿宋" w:eastAsia="仿宋" w:cs="仿宋"/>
          <w:sz w:val="28"/>
          <w:szCs w:val="28"/>
        </w:rPr>
        <w:t>根据预算绩效管理要求，我单位组织对202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年</w:t>
      </w:r>
      <w:r>
        <w:rPr>
          <w:rFonts w:hint="eastAsia" w:ascii="仿宋" w:hAnsi="仿宋" w:eastAsia="仿宋" w:cs="仿宋"/>
          <w:sz w:val="28"/>
          <w:szCs w:val="28"/>
          <w:lang w:eastAsia="zh-CN"/>
        </w:rPr>
        <w:t>政府性基金</w:t>
      </w:r>
      <w:r>
        <w:rPr>
          <w:rFonts w:hint="eastAsia" w:ascii="仿宋" w:hAnsi="仿宋" w:eastAsia="仿宋" w:cs="仿宋"/>
          <w:sz w:val="28"/>
          <w:szCs w:val="28"/>
        </w:rPr>
        <w:t xml:space="preserve">项目支出全面开展绩效自评。1、奖补类项目 </w:t>
      </w:r>
      <w:r>
        <w:rPr>
          <w:rFonts w:hint="eastAsia" w:ascii="仿宋" w:hAnsi="仿宋" w:eastAsia="仿宋" w:cs="仿宋"/>
          <w:sz w:val="28"/>
          <w:szCs w:val="28"/>
          <w:lang w:val="en-US" w:eastAsia="zh-CN"/>
        </w:rPr>
        <w:t>3</w:t>
      </w:r>
      <w:r>
        <w:rPr>
          <w:rFonts w:hint="eastAsia" w:ascii="仿宋" w:hAnsi="仿宋" w:eastAsia="仿宋" w:cs="仿宋"/>
          <w:sz w:val="28"/>
          <w:szCs w:val="28"/>
        </w:rPr>
        <w:t>个(所有项目包含中央、省、州、县本级项目），共涉及资金</w:t>
      </w:r>
      <w:r>
        <w:rPr>
          <w:rFonts w:hint="eastAsia" w:ascii="仿宋" w:hAnsi="仿宋" w:eastAsia="仿宋" w:cs="仿宋"/>
          <w:sz w:val="28"/>
          <w:szCs w:val="28"/>
          <w:lang w:val="en-US" w:eastAsia="zh-CN"/>
        </w:rPr>
        <w:t>161.18</w:t>
      </w:r>
      <w:r>
        <w:rPr>
          <w:rFonts w:hint="eastAsia" w:ascii="仿宋" w:hAnsi="仿宋" w:eastAsia="仿宋" w:cs="仿宋"/>
          <w:sz w:val="28"/>
          <w:szCs w:val="28"/>
        </w:rPr>
        <w:t>万元</w:t>
      </w:r>
      <w:r>
        <w:rPr>
          <w:rFonts w:hint="eastAsia" w:ascii="仿宋" w:hAnsi="仿宋" w:eastAsia="仿宋" w:cs="仿宋"/>
          <w:sz w:val="28"/>
          <w:szCs w:val="28"/>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3006"/>
        <w:gridCol w:w="3006"/>
      </w:tblGrid>
      <w:tr>
        <w:tblPrEx>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支出项目类别</w:t>
            </w:r>
          </w:p>
        </w:tc>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支出项目名称</w:t>
            </w:r>
          </w:p>
        </w:tc>
        <w:tc>
          <w:tcPr>
            <w:tcW w:w="3006" w:type="dxa"/>
          </w:tcPr>
          <w:p>
            <w:pPr>
              <w:tabs>
                <w:tab w:val="left" w:pos="642"/>
              </w:tabs>
              <w:spacing w:line="6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项目支出（万元）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孤儿资金</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福彩公益金</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06" w:type="dxa"/>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奖补类项目</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互肋养老设施建设资金</w:t>
            </w:r>
          </w:p>
        </w:tc>
        <w:tc>
          <w:tcPr>
            <w:tcW w:w="3006" w:type="dxa"/>
            <w:vAlign w:val="center"/>
          </w:tcPr>
          <w:p>
            <w:pPr>
              <w:tabs>
                <w:tab w:val="left" w:pos="642"/>
              </w:tabs>
              <w:spacing w:line="60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012" w:type="dxa"/>
            <w:gridSpan w:val="2"/>
            <w:vAlign w:val="top"/>
          </w:tcPr>
          <w:p>
            <w:pPr>
              <w:tabs>
                <w:tab w:val="left" w:pos="642"/>
              </w:tabs>
              <w:spacing w:line="60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合计：</w:t>
            </w:r>
          </w:p>
        </w:tc>
        <w:tc>
          <w:tcPr>
            <w:tcW w:w="3006" w:type="dxa"/>
            <w:vAlign w:val="center"/>
          </w:tcPr>
          <w:p>
            <w:pPr>
              <w:tabs>
                <w:tab w:val="left" w:pos="642"/>
              </w:tabs>
              <w:spacing w:line="600" w:lineRule="exact"/>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161.18</w:t>
            </w:r>
          </w:p>
        </w:tc>
      </w:tr>
    </w:tbl>
    <w:p>
      <w:pPr>
        <w:pStyle w:val="16"/>
        <w:numPr>
          <w:ilvl w:val="0"/>
          <w:numId w:val="0"/>
        </w:numPr>
        <w:spacing w:line="600" w:lineRule="exact"/>
        <w:rPr>
          <w:rFonts w:ascii="Times New Roman" w:hAnsi="Times New Roman" w:eastAsia="黑体"/>
          <w:sz w:val="32"/>
          <w:szCs w:val="32"/>
        </w:rPr>
      </w:pPr>
    </w:p>
    <w:p>
      <w:pPr>
        <w:pStyle w:val="16"/>
        <w:numPr>
          <w:ilvl w:val="0"/>
          <w:numId w:val="2"/>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6"/>
        <w:numPr>
          <w:ilvl w:val="0"/>
          <w:numId w:val="0"/>
        </w:numPr>
        <w:spacing w:line="60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2023年度单位无国有资本经营预算支出</w:t>
      </w:r>
    </w:p>
    <w:p>
      <w:pPr>
        <w:pStyle w:val="16"/>
        <w:numPr>
          <w:ilvl w:val="0"/>
          <w:numId w:val="2"/>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spacing w:line="60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2023年我单位共支付机关事业单位基本养老保险费44.57万元，职工基本医疗保险费22.80万元，其他社会保障费27.47万元，住房公积金 56.95万元。</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eastAsia="仿宋_GB2312"/>
          <w:color w:val="000000"/>
          <w:sz w:val="32"/>
          <w:szCs w:val="32"/>
        </w:rPr>
      </w:pPr>
      <w:r>
        <w:rPr>
          <w:rFonts w:eastAsia="仿宋_GB2312"/>
          <w:color w:val="000000"/>
          <w:sz w:val="32"/>
          <w:szCs w:val="32"/>
        </w:rPr>
        <w:t>总结归纳</w:t>
      </w:r>
      <w:r>
        <w:rPr>
          <w:rFonts w:hint="eastAsia" w:ascii="仿宋_GB2312" w:hAnsi="仿宋_GB2312" w:eastAsia="仿宋_GB2312" w:cs="仿宋_GB2312"/>
          <w:color w:val="000000"/>
          <w:sz w:val="32"/>
          <w:szCs w:val="32"/>
        </w:rPr>
        <w:t>本部门整体支出的绩效目标完成情况，实现产出和取得效益的情况。围绕部</w:t>
      </w:r>
      <w:r>
        <w:rPr>
          <w:rFonts w:eastAsia="仿宋_GB2312"/>
          <w:color w:val="000000"/>
          <w:sz w:val="32"/>
          <w:szCs w:val="32"/>
        </w:rPr>
        <w:t>门职责、行业发展规划，以预算资金管理为主线，总结部门资产管理和开展业务情况，从运行成本、管理效率、履职效能、社会效应、可持续发展能力和服务对象满意度等方面，衡量部门整体及核心业务实施效果</w:t>
      </w:r>
      <w:r>
        <w:rPr>
          <w:rFonts w:hint="eastAsia" w:cs="宋体"/>
          <w:color w:val="000000"/>
          <w:sz w:val="32"/>
          <w:szCs w:val="32"/>
        </w:rPr>
        <w:t>。</w:t>
      </w:r>
    </w:p>
    <w:p>
      <w:pPr>
        <w:numPr>
          <w:ilvl w:val="0"/>
          <w:numId w:val="2"/>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2023年度本单位年初绩效目标均已完成；单位组织管理和财务管理健全规范，未发生违法违规问题；经济和社会效益显著。根据评价小组设定的绩效评价指标得96分（详见附件3：州级预算部门整体支出绩效自评表），评价等次为优。</w:t>
      </w:r>
    </w:p>
    <w:p>
      <w:pPr>
        <w:numPr>
          <w:ilvl w:val="0"/>
          <w:numId w:val="2"/>
        </w:numPr>
        <w:adjustRightInd w:val="0"/>
        <w:snapToGrid w:val="0"/>
        <w:spacing w:line="600" w:lineRule="exact"/>
        <w:ind w:left="0" w:leftChars="0" w:firstLine="640" w:firstLineChars="200"/>
        <w:rPr>
          <w:rFonts w:eastAsia="黑体"/>
          <w:sz w:val="32"/>
          <w:szCs w:val="32"/>
        </w:rPr>
      </w:pPr>
      <w:r>
        <w:rPr>
          <w:rFonts w:eastAsia="黑体"/>
          <w:sz w:val="32"/>
          <w:szCs w:val="32"/>
        </w:rPr>
        <w:t>主要经验做法、存在的问题及原因分析</w:t>
      </w:r>
    </w:p>
    <w:p>
      <w:pPr>
        <w:pStyle w:val="7"/>
        <w:widowControl/>
        <w:spacing w:beforeAutospacing="0" w:afterAutospacing="0"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心细手勤认真工作，依法依规按章办事，制定了专项资金使用管理办法，明确了资金付款流程，统一了资金申请手续，做到了层层审核、层层负责、层层把关，专款专用专事审核，提高资金使用效率，促进社会和谐发展。   </w:t>
      </w:r>
    </w:p>
    <w:p>
      <w:pPr>
        <w:numPr>
          <w:ilvl w:val="0"/>
          <w:numId w:val="0"/>
        </w:numPr>
        <w:adjustRightInd w:val="0"/>
        <w:snapToGrid w:val="0"/>
        <w:spacing w:line="600" w:lineRule="exact"/>
        <w:ind w:leftChars="200"/>
        <w:rPr>
          <w:rFonts w:eastAsia="黑体"/>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九</w:t>
      </w:r>
      <w:r>
        <w:rPr>
          <w:rFonts w:eastAsia="黑体"/>
          <w:sz w:val="32"/>
          <w:szCs w:val="32"/>
        </w:rPr>
        <w:t>、有关建议</w:t>
      </w:r>
    </w:p>
    <w:p>
      <w:pPr>
        <w:pStyle w:val="7"/>
        <w:widowControl/>
        <w:spacing w:beforeAutospacing="0" w:afterAutospacing="0" w:line="560"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是做好有效的管理指标，做好单位项目评价、审计、考核工作。二是提高绩效管理工作的专业水平，规范绩效评价管理资料的收集整理，确保相关信息完整、可靠，客观公正地反映项目资金实际使用和产生的绩效状况。</w:t>
      </w:r>
    </w:p>
    <w:p>
      <w:pPr>
        <w:spacing w:line="600" w:lineRule="exact"/>
        <w:ind w:firstLine="640" w:firstLineChars="200"/>
        <w:rPr>
          <w:rFonts w:eastAsia="黑体"/>
          <w:sz w:val="32"/>
          <w:szCs w:val="32"/>
        </w:rPr>
      </w:pPr>
      <w:r>
        <w:rPr>
          <w:rFonts w:hint="eastAsia" w:eastAsia="黑体"/>
          <w:sz w:val="32"/>
          <w:szCs w:val="32"/>
        </w:rPr>
        <w:t>十</w:t>
      </w:r>
      <w:r>
        <w:rPr>
          <w:rFonts w:eastAsia="黑体"/>
          <w:sz w:val="32"/>
          <w:szCs w:val="32"/>
        </w:rPr>
        <w:t>、绩效自评结果拟应用和公开情况</w:t>
      </w: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绩效自评结果优，应上级要求，在网站上全文公开部门项目支出绩效自评报告，接受社会公众的监督。</w:t>
      </w:r>
    </w:p>
    <w:p>
      <w:pPr>
        <w:spacing w:line="600" w:lineRule="exact"/>
        <w:ind w:firstLine="640" w:firstLineChars="200"/>
        <w:rPr>
          <w:rFonts w:eastAsia="黑体"/>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无</w:t>
      </w: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adjustRightInd w:val="0"/>
        <w:snapToGrid w:val="0"/>
        <w:spacing w:line="600" w:lineRule="exact"/>
        <w:ind w:firstLine="640" w:firstLineChars="200"/>
        <w:rPr>
          <w:rFonts w:hint="eastAsia" w:ascii="仿宋" w:hAnsi="仿宋" w:eastAsia="仿宋" w:cs="仿宋"/>
          <w:kern w:val="0"/>
          <w:sz w:val="32"/>
          <w:szCs w:val="32"/>
          <w:lang w:val="en-US" w:eastAsia="zh-CN" w:bidi="ar-SA"/>
        </w:rPr>
      </w:pPr>
    </w:p>
    <w:p>
      <w:pPr>
        <w:spacing w:line="360" w:lineRule="exact"/>
        <w:rPr>
          <w:rFonts w:hint="eastAsia" w:ascii="仿宋_GB2312" w:hAnsi="仿宋" w:eastAsia="仿宋_GB2312" w:cs="仿宋"/>
          <w:lang w:val="en-US" w:eastAsia="zh-CN"/>
        </w:rPr>
      </w:pPr>
      <w:bookmarkStart w:id="0" w:name="_GoBack"/>
      <w:bookmarkEnd w:id="0"/>
    </w:p>
    <w:sectPr>
      <w:headerReference r:id="rId4" w:type="first"/>
      <w:headerReference r:id="rId3" w:type="default"/>
      <w:footerReference r:id="rId5" w:type="default"/>
      <w:footerReference r:id="rId6" w:type="even"/>
      <w:pgSz w:w="11905" w:h="16837"/>
      <w:pgMar w:top="1417" w:right="1474" w:bottom="1417" w:left="1474" w:header="720" w:footer="1191" w:gutter="0"/>
      <w:pgNumType w:fmt="numberInDash"/>
      <w:cols w:space="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Cs w:val="28"/>
      </w:rPr>
    </w:pPr>
    <w:r>
      <w:rPr>
        <w:rFonts w:ascii="宋体" w:hAnsi="宋体"/>
        <w:sz w:val="28"/>
        <w:szCs w:val="28"/>
      </w:rPr>
      <w:fldChar w:fldCharType="begin"/>
    </w:r>
    <w:r>
      <w:rPr>
        <w:rStyle w:val="11"/>
        <w:rFonts w:ascii="宋体" w:hAnsi="宋体"/>
        <w:szCs w:val="28"/>
      </w:rPr>
      <w:instrText xml:space="preserve">PAGE  </w:instrText>
    </w:r>
    <w:r>
      <w:rPr>
        <w:rFonts w:ascii="宋体" w:hAnsi="宋体"/>
        <w:sz w:val="28"/>
        <w:szCs w:val="28"/>
      </w:rPr>
      <w:fldChar w:fldCharType="separate"/>
    </w:r>
    <w:r>
      <w:rPr>
        <w:rStyle w:val="11"/>
        <w:rFonts w:ascii="宋体" w:hAnsi="宋体"/>
        <w:szCs w:val="28"/>
      </w:rPr>
      <w:t>- 24 -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5456"/>
    <w:multiLevelType w:val="singleLevel"/>
    <w:tmpl w:val="9A445456"/>
    <w:lvl w:ilvl="0" w:tentative="0">
      <w:start w:val="3"/>
      <w:numFmt w:val="chineseCounting"/>
      <w:suff w:val="nothing"/>
      <w:lvlText w:val="%1、"/>
      <w:lvlJc w:val="left"/>
      <w:rPr>
        <w:rFonts w:hint="eastAsia"/>
      </w:rPr>
    </w:lvl>
  </w:abstractNum>
  <w:abstractNum w:abstractNumId="1">
    <w:nsid w:val="686665E1"/>
    <w:multiLevelType w:val="singleLevel"/>
    <w:tmpl w:val="686665E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ZDg5YjE1NGI3OTg1Nzk1OGYzOWYwZWRmY2E2ZmEifQ=="/>
  </w:docVars>
  <w:rsids>
    <w:rsidRoot w:val="001E3756"/>
    <w:rsid w:val="001E3756"/>
    <w:rsid w:val="004943D8"/>
    <w:rsid w:val="004E027F"/>
    <w:rsid w:val="005C4E87"/>
    <w:rsid w:val="006E4AA4"/>
    <w:rsid w:val="007378E5"/>
    <w:rsid w:val="00E63AFA"/>
    <w:rsid w:val="00E805B1"/>
    <w:rsid w:val="0211186A"/>
    <w:rsid w:val="02F01667"/>
    <w:rsid w:val="034B4BE6"/>
    <w:rsid w:val="0620294B"/>
    <w:rsid w:val="06BD66AE"/>
    <w:rsid w:val="082B2B16"/>
    <w:rsid w:val="08EE56B8"/>
    <w:rsid w:val="0AFA046E"/>
    <w:rsid w:val="0F41493F"/>
    <w:rsid w:val="11755266"/>
    <w:rsid w:val="15C57A2D"/>
    <w:rsid w:val="16610551"/>
    <w:rsid w:val="178D5A5C"/>
    <w:rsid w:val="19900C3C"/>
    <w:rsid w:val="19924EC5"/>
    <w:rsid w:val="19BD0194"/>
    <w:rsid w:val="1B1C0EEA"/>
    <w:rsid w:val="1C1D6ECC"/>
    <w:rsid w:val="1DC615E1"/>
    <w:rsid w:val="1DD52280"/>
    <w:rsid w:val="1EF65EF6"/>
    <w:rsid w:val="1F247119"/>
    <w:rsid w:val="206B749E"/>
    <w:rsid w:val="22E50202"/>
    <w:rsid w:val="24660479"/>
    <w:rsid w:val="26834513"/>
    <w:rsid w:val="26AF3988"/>
    <w:rsid w:val="28827CF6"/>
    <w:rsid w:val="28D87699"/>
    <w:rsid w:val="29017971"/>
    <w:rsid w:val="2CF42B11"/>
    <w:rsid w:val="2FFB664F"/>
    <w:rsid w:val="2FFF0FB6"/>
    <w:rsid w:val="31091E31"/>
    <w:rsid w:val="321A63CB"/>
    <w:rsid w:val="32340DB8"/>
    <w:rsid w:val="32AA7F54"/>
    <w:rsid w:val="34930017"/>
    <w:rsid w:val="34DA0BF7"/>
    <w:rsid w:val="354A375C"/>
    <w:rsid w:val="3836180D"/>
    <w:rsid w:val="39250685"/>
    <w:rsid w:val="3AD66180"/>
    <w:rsid w:val="3AFF6641"/>
    <w:rsid w:val="3C2E55CC"/>
    <w:rsid w:val="3DB62B88"/>
    <w:rsid w:val="3EFC10FA"/>
    <w:rsid w:val="3F0A7A35"/>
    <w:rsid w:val="3FA14102"/>
    <w:rsid w:val="435058F8"/>
    <w:rsid w:val="46D149CF"/>
    <w:rsid w:val="4CE03DF1"/>
    <w:rsid w:val="4E1B17F1"/>
    <w:rsid w:val="4E271BFF"/>
    <w:rsid w:val="4EEE25C2"/>
    <w:rsid w:val="4EF83441"/>
    <w:rsid w:val="508131F2"/>
    <w:rsid w:val="55D20543"/>
    <w:rsid w:val="55E64236"/>
    <w:rsid w:val="5797477E"/>
    <w:rsid w:val="58110799"/>
    <w:rsid w:val="588E2720"/>
    <w:rsid w:val="59613991"/>
    <w:rsid w:val="59947CD6"/>
    <w:rsid w:val="5C687567"/>
    <w:rsid w:val="5D146740"/>
    <w:rsid w:val="5D455FE8"/>
    <w:rsid w:val="5E1F420A"/>
    <w:rsid w:val="628C6BC7"/>
    <w:rsid w:val="62C5014D"/>
    <w:rsid w:val="64F658D5"/>
    <w:rsid w:val="65DE1C19"/>
    <w:rsid w:val="66304702"/>
    <w:rsid w:val="66611474"/>
    <w:rsid w:val="67BA4FF5"/>
    <w:rsid w:val="69B6118A"/>
    <w:rsid w:val="6D741D8B"/>
    <w:rsid w:val="6DFF76FC"/>
    <w:rsid w:val="71CC633B"/>
    <w:rsid w:val="71FE514D"/>
    <w:rsid w:val="734C33BD"/>
    <w:rsid w:val="741E09A4"/>
    <w:rsid w:val="7BD27EA7"/>
    <w:rsid w:val="7C7F460A"/>
    <w:rsid w:val="7D29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Date"/>
    <w:basedOn w:val="1"/>
    <w:next w:val="1"/>
    <w:link w:val="14"/>
    <w:autoRedefine/>
    <w:qFormat/>
    <w:uiPriority w:val="0"/>
    <w:pPr>
      <w:ind w:left="100" w:leftChars="2500"/>
    </w:pPr>
    <w:rPr>
      <w:rFonts w:eastAsia="仿宋_GB2312"/>
      <w:kern w:val="0"/>
      <w:sz w:val="28"/>
    </w:rPr>
  </w:style>
  <w:style w:type="paragraph" w:styleId="4">
    <w:name w:val="Balloon Text"/>
    <w:basedOn w:val="1"/>
    <w:link w:val="15"/>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style>
  <w:style w:type="character" w:customStyle="1" w:styleId="12">
    <w:name w:val="页眉 Char"/>
    <w:basedOn w:val="10"/>
    <w:link w:val="6"/>
    <w:autoRedefine/>
    <w:qFormat/>
    <w:uiPriority w:val="0"/>
    <w:rPr>
      <w:kern w:val="2"/>
      <w:sz w:val="18"/>
      <w:szCs w:val="18"/>
    </w:rPr>
  </w:style>
  <w:style w:type="character" w:customStyle="1" w:styleId="13">
    <w:name w:val="页脚 Char"/>
    <w:basedOn w:val="10"/>
    <w:link w:val="5"/>
    <w:autoRedefine/>
    <w:qFormat/>
    <w:uiPriority w:val="0"/>
    <w:rPr>
      <w:kern w:val="2"/>
      <w:sz w:val="18"/>
      <w:szCs w:val="18"/>
    </w:rPr>
  </w:style>
  <w:style w:type="character" w:customStyle="1" w:styleId="14">
    <w:name w:val="日期 Char"/>
    <w:basedOn w:val="10"/>
    <w:link w:val="3"/>
    <w:autoRedefine/>
    <w:qFormat/>
    <w:uiPriority w:val="0"/>
    <w:rPr>
      <w:rFonts w:eastAsia="仿宋_GB2312"/>
      <w:sz w:val="28"/>
      <w:szCs w:val="24"/>
    </w:rPr>
  </w:style>
  <w:style w:type="character" w:customStyle="1" w:styleId="15">
    <w:name w:val="批注框文本 Char"/>
    <w:basedOn w:val="10"/>
    <w:link w:val="4"/>
    <w:autoRedefine/>
    <w:qFormat/>
    <w:uiPriority w:val="0"/>
    <w:rPr>
      <w:kern w:val="2"/>
      <w:sz w:val="18"/>
      <w:szCs w:val="18"/>
    </w:rPr>
  </w:style>
  <w:style w:type="paragraph" w:customStyle="1" w:styleId="16">
    <w:name w:val="列出段落1"/>
    <w:basedOn w:val="1"/>
    <w:autoRedefine/>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5655</Words>
  <Characters>6248</Characters>
  <Lines>112</Lines>
  <Paragraphs>31</Paragraphs>
  <TotalTime>3</TotalTime>
  <ScaleCrop>false</ScaleCrop>
  <LinksUpToDate>false</LinksUpToDate>
  <CharactersWithSpaces>6567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2022-06-20T02:48:00Z</dcterms:created>
  <dc:creator>Administrator</dc:creator>
  <cp:lastModifiedBy>Administrator</cp:lastModifiedBy>
  <dcterms:modified xsi:type="dcterms:W3CDTF">2024-06-13T03:34:28Z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C0E348B55E3B4EE78B2373B1E466B0E8_13</vt:lpwstr>
  </property>
</Properties>
</file>