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8"/>
          <w:szCs w:val="48"/>
          <w:lang w:eastAsia="zh-CN"/>
        </w:rPr>
      </w:pPr>
      <w:r>
        <w:rPr>
          <w:rFonts w:hint="eastAsia" w:ascii="方正小标宋简体" w:hAnsi="方正小标宋简体" w:eastAsia="方正小标宋简体" w:cs="方正小标宋简体"/>
          <w:sz w:val="48"/>
          <w:szCs w:val="48"/>
          <w:lang w:eastAsia="zh-CN"/>
        </w:rPr>
        <w:t>吉首市融媒体中心</w:t>
      </w: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val="en-US" w:eastAsia="zh-CN"/>
        </w:rPr>
        <w:t>2023</w:t>
      </w:r>
      <w:r>
        <w:rPr>
          <w:rFonts w:hint="eastAsia" w:ascii="方正小标宋简体" w:hAnsi="方正小标宋简体" w:eastAsia="方正小标宋简体" w:cs="方正小标宋简体"/>
          <w:sz w:val="48"/>
          <w:szCs w:val="48"/>
        </w:rPr>
        <w:t>年度部门整体支出绩效自评报告</w:t>
      </w:r>
    </w:p>
    <w:p>
      <w:pPr>
        <w:jc w:val="center"/>
        <w:rPr>
          <w:rFonts w:eastAsia="楷体_GB2312"/>
          <w:b/>
          <w:bCs/>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44"/>
          <w:szCs w:val="44"/>
        </w:rPr>
      </w:pPr>
    </w:p>
    <w:p>
      <w:pPr>
        <w:spacing w:line="600" w:lineRule="exact"/>
        <w:ind w:firstLine="880" w:firstLineChars="200"/>
        <w:jc w:val="center"/>
        <w:rPr>
          <w:rFonts w:eastAsia="黑体"/>
          <w:sz w:val="44"/>
          <w:szCs w:val="44"/>
        </w:rPr>
      </w:pPr>
    </w:p>
    <w:p>
      <w:pPr>
        <w:spacing w:line="600" w:lineRule="exact"/>
        <w:ind w:firstLine="2160" w:firstLineChars="600"/>
        <w:rPr>
          <w:rFonts w:eastAsia="黑体"/>
          <w:sz w:val="36"/>
          <w:szCs w:val="36"/>
        </w:rPr>
      </w:pPr>
      <w:r>
        <w:rPr>
          <w:rFonts w:hint="eastAsia" w:eastAsia="黑体"/>
          <w:sz w:val="36"/>
          <w:szCs w:val="36"/>
        </w:rPr>
        <w:t>部门（</w:t>
      </w:r>
      <w:r>
        <w:rPr>
          <w:rFonts w:eastAsia="黑体"/>
          <w:sz w:val="36"/>
          <w:szCs w:val="36"/>
        </w:rPr>
        <w:t>单位</w:t>
      </w:r>
      <w:r>
        <w:rPr>
          <w:rFonts w:hint="eastAsia" w:eastAsia="黑体"/>
          <w:sz w:val="36"/>
          <w:szCs w:val="36"/>
        </w:rPr>
        <w:t>）</w:t>
      </w:r>
      <w:r>
        <w:rPr>
          <w:rFonts w:eastAsia="黑体"/>
          <w:sz w:val="36"/>
          <w:szCs w:val="36"/>
        </w:rPr>
        <w:t>名称（盖章）：</w:t>
      </w:r>
    </w:p>
    <w:p>
      <w:pPr>
        <w:spacing w:line="600" w:lineRule="exact"/>
        <w:ind w:firstLine="2160" w:firstLineChars="600"/>
        <w:rPr>
          <w:rFonts w:hint="default" w:eastAsia="黑体"/>
          <w:sz w:val="36"/>
          <w:szCs w:val="36"/>
          <w:lang w:val="en-US" w:eastAsia="zh-CN"/>
        </w:rPr>
      </w:pPr>
      <w:r>
        <w:rPr>
          <w:rFonts w:hint="eastAsia" w:eastAsia="黑体"/>
          <w:sz w:val="36"/>
          <w:szCs w:val="36"/>
        </w:rPr>
        <w:t>预算编码：</w:t>
      </w:r>
      <w:r>
        <w:rPr>
          <w:rFonts w:hint="eastAsia" w:eastAsia="黑体"/>
          <w:sz w:val="36"/>
          <w:szCs w:val="36"/>
          <w:lang w:val="en-US" w:eastAsia="zh-CN"/>
        </w:rPr>
        <w:t>154</w:t>
      </w:r>
    </w:p>
    <w:p>
      <w:pPr>
        <w:spacing w:line="600" w:lineRule="exact"/>
        <w:jc w:val="center"/>
        <w:rPr>
          <w:rFonts w:eastAsia="黑体"/>
          <w:sz w:val="36"/>
          <w:szCs w:val="36"/>
        </w:rPr>
      </w:pPr>
    </w:p>
    <w:p>
      <w:pPr>
        <w:spacing w:line="600" w:lineRule="exact"/>
        <w:ind w:firstLine="2099" w:firstLineChars="656"/>
        <w:jc w:val="left"/>
        <w:rPr>
          <w:rFonts w:eastAsia="仿宋_GB2312"/>
          <w:sz w:val="32"/>
          <w:szCs w:val="32"/>
        </w:rPr>
      </w:pPr>
      <w:r>
        <w:rPr>
          <w:rFonts w:hint="eastAsia" w:eastAsia="仿宋_GB2312"/>
          <w:sz w:val="32"/>
          <w:szCs w:val="32"/>
        </w:rPr>
        <w:t>评价方式：部门（单位）绩效自评</w:t>
      </w:r>
    </w:p>
    <w:p>
      <w:pPr>
        <w:spacing w:line="600" w:lineRule="exact"/>
        <w:ind w:firstLine="2099" w:firstLineChars="656"/>
        <w:jc w:val="left"/>
        <w:rPr>
          <w:rFonts w:eastAsia="仿宋_GB2312" w:cs="Arial"/>
          <w:sz w:val="28"/>
          <w:szCs w:val="28"/>
        </w:rPr>
      </w:pPr>
      <w:r>
        <w:rPr>
          <w:rFonts w:hint="eastAsia" w:eastAsia="仿宋_GB2312"/>
          <w:sz w:val="32"/>
          <w:szCs w:val="32"/>
        </w:rPr>
        <w:t>评价机构：部门（单位）评价组</w:t>
      </w:r>
    </w:p>
    <w:p>
      <w:pPr>
        <w:ind w:firstLine="420" w:firstLineChars="150"/>
        <w:jc w:val="left"/>
        <w:rPr>
          <w:rFonts w:eastAsia="仿宋_GB2312" w:cs="Arial"/>
          <w:sz w:val="28"/>
          <w:szCs w:val="28"/>
        </w:rPr>
      </w:pPr>
    </w:p>
    <w:p>
      <w:pPr>
        <w:jc w:val="center"/>
        <w:rPr>
          <w:rFonts w:eastAsia="仿宋_GB2312" w:cs="Arial"/>
          <w:sz w:val="28"/>
          <w:szCs w:val="28"/>
        </w:rPr>
      </w:pPr>
    </w:p>
    <w:p>
      <w:pPr>
        <w:jc w:val="center"/>
        <w:rPr>
          <w:rFonts w:eastAsia="仿宋_GB2312" w:cs="Arial"/>
          <w:sz w:val="28"/>
          <w:szCs w:val="28"/>
        </w:rPr>
      </w:pPr>
    </w:p>
    <w:p>
      <w:pPr>
        <w:jc w:val="center"/>
        <w:rPr>
          <w:rFonts w:eastAsia="仿宋_GB2312" w:cs="Arial"/>
          <w:sz w:val="28"/>
          <w:szCs w:val="28"/>
        </w:rPr>
      </w:pPr>
    </w:p>
    <w:p>
      <w:pPr>
        <w:jc w:val="center"/>
        <w:rPr>
          <w:rFonts w:eastAsia="仿宋_GB2312" w:cs="Arial"/>
          <w:sz w:val="28"/>
          <w:szCs w:val="28"/>
        </w:rPr>
      </w:pPr>
    </w:p>
    <w:p>
      <w:pPr>
        <w:jc w:val="center"/>
        <w:rPr>
          <w:rFonts w:eastAsia="仿宋_GB2312" w:cs="Arial"/>
          <w:sz w:val="28"/>
          <w:szCs w:val="28"/>
        </w:rPr>
      </w:pPr>
    </w:p>
    <w:p>
      <w:pPr>
        <w:jc w:val="center"/>
        <w:rPr>
          <w:rFonts w:eastAsia="仿宋_GB2312" w:cs="Arial"/>
          <w:sz w:val="28"/>
          <w:szCs w:val="28"/>
        </w:rPr>
      </w:pP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报告时间：</w:t>
      </w:r>
      <w:r>
        <w:rPr>
          <w:rFonts w:hint="eastAsia" w:ascii="仿宋_GB2312" w:hAnsi="仿宋_GB2312" w:eastAsia="仿宋_GB2312" w:cs="仿宋_GB2312"/>
          <w:sz w:val="28"/>
          <w:szCs w:val="28"/>
          <w:u w:val="single"/>
          <w:lang w:val="en-US" w:eastAsia="zh-CN"/>
        </w:rPr>
        <w:t>2024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rPr>
        <w:t>月</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（此页为封面）</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tbl>
      <w:tblPr>
        <w:tblStyle w:val="5"/>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0"/>
        <w:gridCol w:w="212"/>
        <w:gridCol w:w="46"/>
        <w:gridCol w:w="1080"/>
        <w:gridCol w:w="675"/>
        <w:gridCol w:w="680"/>
        <w:gridCol w:w="272"/>
        <w:gridCol w:w="810"/>
        <w:gridCol w:w="1479"/>
        <w:gridCol w:w="226"/>
        <w:gridCol w:w="194"/>
        <w:gridCol w:w="261"/>
        <w:gridCol w:w="1080"/>
        <w:gridCol w:w="265"/>
        <w:gridCol w:w="455"/>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pPr>
              <w:autoSpaceDN w:val="0"/>
              <w:spacing w:line="320" w:lineRule="exact"/>
              <w:jc w:val="center"/>
              <w:textAlignment w:val="center"/>
              <w:rPr>
                <w:rFonts w:eastAsia="仿宋_GB2312" w:cs="仿宋_GB2312"/>
                <w:sz w:val="24"/>
              </w:rPr>
            </w:pPr>
            <w:r>
              <w:rPr>
                <w:rFonts w:hint="eastAsia" w:eastAsia="黑体" w:cs="黑体"/>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联系人</w:t>
            </w:r>
          </w:p>
        </w:tc>
        <w:tc>
          <w:tcPr>
            <w:tcW w:w="3563" w:type="dxa"/>
            <w:gridSpan w:val="6"/>
            <w:vAlign w:val="center"/>
          </w:tcPr>
          <w:p>
            <w:pPr>
              <w:autoSpaceDN w:val="0"/>
              <w:spacing w:line="320" w:lineRule="exact"/>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彭继湘</w:t>
            </w:r>
          </w:p>
        </w:tc>
        <w:tc>
          <w:tcPr>
            <w:tcW w:w="1479" w:type="dxa"/>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联系电话</w:t>
            </w:r>
          </w:p>
        </w:tc>
        <w:tc>
          <w:tcPr>
            <w:tcW w:w="3106" w:type="dxa"/>
            <w:gridSpan w:val="7"/>
            <w:vAlign w:val="center"/>
          </w:tcPr>
          <w:p>
            <w:pPr>
              <w:autoSpaceDN w:val="0"/>
              <w:spacing w:line="32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13907439915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人员编制</w:t>
            </w:r>
          </w:p>
        </w:tc>
        <w:tc>
          <w:tcPr>
            <w:tcW w:w="3563" w:type="dxa"/>
            <w:gridSpan w:val="6"/>
            <w:vAlign w:val="center"/>
          </w:tcPr>
          <w:p>
            <w:pPr>
              <w:autoSpaceDN w:val="0"/>
              <w:spacing w:line="320" w:lineRule="exact"/>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78</w:t>
            </w:r>
          </w:p>
        </w:tc>
        <w:tc>
          <w:tcPr>
            <w:tcW w:w="1479" w:type="dxa"/>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实有人数</w:t>
            </w:r>
          </w:p>
        </w:tc>
        <w:tc>
          <w:tcPr>
            <w:tcW w:w="3106" w:type="dxa"/>
            <w:gridSpan w:val="7"/>
            <w:vAlign w:val="center"/>
          </w:tcPr>
          <w:p>
            <w:pPr>
              <w:autoSpaceDN w:val="0"/>
              <w:spacing w:line="320" w:lineRule="exact"/>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35" w:hRule="atLeast"/>
          <w:jc w:val="center"/>
        </w:trPr>
        <w:tc>
          <w:tcPr>
            <w:tcW w:w="165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职能职责概述</w:t>
            </w:r>
          </w:p>
        </w:tc>
        <w:tc>
          <w:tcPr>
            <w:tcW w:w="8148" w:type="dxa"/>
            <w:gridSpan w:val="14"/>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1、贯彻执行党中央、国务院及省、州、市有关新闻宣传、影视文艺宣传的路线、方针、政策和相关法律、法规，围绕市委、市政府的中心工作，为我市政治、经济、文化、社会、生态文明全面发展把握正确的舆论导向，依法进行广播电视网络宣传和舆论监督工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2、负责中心电视、广播、新媒体节目的采编、制作、审核、播控工作；负责广播、电视、新媒体融合发展工作；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3、负责对中心产业建设和发展进行统筹规划和组织实施；负责中心相关经营管理工作，组织审查广告播出，依法开展广告经营；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4、承担中心广播电视的业务指导工作；负责中心广播电视人才的培训、培养、引进和使用工作；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default" w:ascii="Calibri" w:hAnsi="Calibri" w:eastAsia="宋体" w:cs="Times New Roman"/>
                <w:szCs w:val="21"/>
                <w:lang w:val="en-US" w:eastAsia="zh-CN"/>
              </w:rPr>
            </w:pPr>
            <w:r>
              <w:rPr>
                <w:rFonts w:hint="eastAsia" w:ascii="Calibri" w:hAnsi="Calibri" w:eastAsia="宋体" w:cs="Times New Roman"/>
                <w:szCs w:val="21"/>
                <w:lang w:val="en-US" w:eastAsia="zh-CN"/>
              </w:rPr>
              <w:t>5、通过整合市级媒体平台，实现市域媒体平台全覆盖，充分利用媒介载体，把广播、电视、报纸等既有共同点，又存在互补性的不同媒体，在人力、内容、宣传等方面进行全面整合，完成选题报送、任务分发、内容制作、内容发布等环节的全流域管理，达到互融互通，对党政资源与宣传内容实施管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6、会同市气象部门开展气象预报和气象灾害预警等社会服务工作；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7、组织开展全媒体大型宣传活动的策划、拍摄、制作和播出工作；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eastAsia="仿宋_GB2312" w:cs="仿宋_GB2312"/>
                <w:sz w:val="24"/>
              </w:rPr>
            </w:pPr>
            <w:r>
              <w:rPr>
                <w:rFonts w:hint="eastAsia" w:ascii="Calibri" w:hAnsi="Calibri" w:eastAsia="宋体" w:cs="Times New Roman"/>
                <w:szCs w:val="21"/>
                <w:lang w:val="en-US" w:eastAsia="zh-CN"/>
              </w:rPr>
              <w:t>8、完成市委、市人民政府和市委宣传部交办的其他事项；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90" w:hRule="atLeast"/>
          <w:jc w:val="center"/>
        </w:trPr>
        <w:tc>
          <w:tcPr>
            <w:tcW w:w="165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年度主要</w:t>
            </w:r>
          </w:p>
          <w:p>
            <w:pPr>
              <w:autoSpaceDN w:val="0"/>
              <w:spacing w:line="320" w:lineRule="exact"/>
              <w:jc w:val="center"/>
              <w:textAlignment w:val="center"/>
              <w:rPr>
                <w:rFonts w:eastAsia="仿宋_GB2312" w:cs="仿宋_GB2312"/>
                <w:sz w:val="24"/>
              </w:rPr>
            </w:pPr>
            <w:r>
              <w:rPr>
                <w:rFonts w:hint="eastAsia" w:eastAsia="仿宋_GB2312" w:cs="仿宋_GB2312"/>
                <w:sz w:val="24"/>
              </w:rPr>
              <w:t>工作内容</w:t>
            </w:r>
          </w:p>
        </w:tc>
        <w:tc>
          <w:tcPr>
            <w:tcW w:w="8148" w:type="dxa"/>
            <w:gridSpan w:val="14"/>
            <w:vAlign w:val="center"/>
          </w:tcPr>
          <w:p>
            <w:pPr>
              <w:spacing w:line="320" w:lineRule="exact"/>
              <w:ind w:firstLine="480" w:firstLineChars="200"/>
              <w:rPr>
                <w:rFonts w:hint="eastAsia" w:ascii="Calibri" w:hAnsi="Calibri" w:eastAsia="宋体" w:cs="Times New Roman"/>
                <w:szCs w:val="21"/>
                <w:lang w:val="en-US" w:eastAsia="zh-CN"/>
              </w:rPr>
            </w:pPr>
            <w:r>
              <w:rPr>
                <w:rFonts w:hint="eastAsia" w:eastAsia="仿宋_GB2312" w:cs="仿宋_GB2312"/>
                <w:sz w:val="24"/>
              </w:rPr>
              <w:t>任务1：</w:t>
            </w:r>
            <w:r>
              <w:rPr>
                <w:rFonts w:hint="eastAsia" w:ascii="Calibri" w:hAnsi="Calibri" w:eastAsia="宋体" w:cs="Times New Roman"/>
                <w:szCs w:val="21"/>
                <w:lang w:val="en-US" w:eastAsia="zh-CN"/>
              </w:rPr>
              <w:t>紧扣市委市政府各项中心工作，</w:t>
            </w:r>
            <w:r>
              <w:rPr>
                <w:rFonts w:hint="eastAsia" w:ascii="宋体" w:hAnsi="宋体" w:eastAsia="宋体"/>
                <w:lang w:val="en-US" w:eastAsia="zh-CN"/>
              </w:rPr>
              <w:t>全年宣传工作聚焦“乡村振兴、基层党建、五进小区、优化营商环境、殡葬改革、文旅融合、高铁新城建设”等重点，推出固定特色的栏目，通过事实报道、细节刻画，积极营造全社会鼓足干劲的良好氛围。</w:t>
            </w:r>
            <w:r>
              <w:rPr>
                <w:rFonts w:hint="eastAsia" w:ascii="Calibri" w:hAnsi="Calibri" w:eastAsia="宋体" w:cs="Times New Roman"/>
                <w:szCs w:val="21"/>
                <w:lang w:val="en-US" w:eastAsia="zh-CN"/>
              </w:rPr>
              <w:t>依法进行广播电视网络宣传和舆论监督工作；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以媒体融合发展为契机，不断加强主流媒体意识形态主阵地建设，紧紧围绕市委、市政府重点工作开展宣传报道，为我市高质量发展提供强有力的舆论支持；</w:t>
            </w:r>
          </w:p>
          <w:p>
            <w:pPr>
              <w:autoSpaceDN w:val="0"/>
              <w:spacing w:line="320" w:lineRule="exact"/>
              <w:ind w:firstLine="480" w:firstLineChars="200"/>
              <w:jc w:val="left"/>
              <w:textAlignment w:val="center"/>
              <w:rPr>
                <w:rFonts w:hint="eastAsia" w:ascii="宋体" w:hAnsi="宋体" w:eastAsia="宋体"/>
                <w:lang w:val="en-US" w:eastAsia="zh-CN"/>
              </w:rPr>
            </w:pPr>
            <w:r>
              <w:rPr>
                <w:rFonts w:hint="eastAsia" w:eastAsia="仿宋_GB2312" w:cs="仿宋_GB2312"/>
                <w:sz w:val="24"/>
              </w:rPr>
              <w:t>任务2：</w:t>
            </w:r>
            <w:r>
              <w:rPr>
                <w:rFonts w:hint="eastAsia" w:ascii="宋体" w:hAnsi="宋体" w:eastAsia="宋体"/>
                <w:lang w:val="en-US" w:eastAsia="zh-CN"/>
              </w:rPr>
              <w:t>通过整合广播、电视、网站、客户端、抖音微信公众号、手机报等媒体单元，建立起策、采、编、审、发及效果跟踪的资讯生产流程，初步构建起有本土特色的融媒品牌；</w:t>
            </w:r>
            <w:r>
              <w:rPr>
                <w:rFonts w:hint="eastAsia" w:ascii="Calibri" w:hAnsi="Calibri" w:eastAsia="宋体" w:cs="Times New Roman"/>
                <w:szCs w:val="21"/>
                <w:lang w:val="en-US" w:eastAsia="zh-CN"/>
              </w:rPr>
              <w:t>不断推进本土化节目制播能力，积极探索融合改革发展新路子；</w:t>
            </w:r>
          </w:p>
          <w:p>
            <w:pPr>
              <w:autoSpaceDN w:val="0"/>
              <w:spacing w:line="320" w:lineRule="exact"/>
              <w:ind w:firstLine="420" w:firstLineChars="200"/>
              <w:jc w:val="left"/>
              <w:textAlignment w:val="center"/>
              <w:rPr>
                <w:rFonts w:eastAsia="仿宋_GB2312" w:cs="仿宋_GB2312"/>
                <w:sz w:val="24"/>
              </w:rPr>
            </w:pPr>
            <w:r>
              <w:rPr>
                <w:rFonts w:hint="eastAsia" w:ascii="宋体" w:hAnsi="宋体" w:eastAsia="宋体"/>
                <w:lang w:val="en-US" w:eastAsia="zh-CN"/>
              </w:rPr>
              <w:t>打造新型复合人才队伍</w:t>
            </w:r>
            <w:r>
              <w:rPr>
                <w:rFonts w:hint="eastAsia" w:ascii="宋体" w:hAnsi="宋体"/>
                <w:lang w:val="en-US" w:eastAsia="zh-CN"/>
              </w:rPr>
              <w:t>。</w:t>
            </w:r>
            <w:r>
              <w:rPr>
                <w:rFonts w:hint="eastAsia" w:ascii="宋体" w:hAnsi="宋体" w:eastAsia="宋体"/>
                <w:lang w:val="en-US" w:eastAsia="zh-CN"/>
              </w:rPr>
              <w:t>加强节目策划能力，提升推送稿件、资讯的质量，积极探索县级融媒体中心新媒体平台运营的人才管理机制、增强市场化经营能力。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eastAsia="仿宋_GB2312" w:cs="仿宋_GB2312"/>
                <w:sz w:val="24"/>
              </w:rPr>
            </w:pPr>
            <w:r>
              <w:rPr>
                <w:rFonts w:hint="eastAsia" w:ascii="Times New Roman" w:hAnsi="Times New Roman" w:eastAsia="仿宋_GB2312" w:cs="仿宋_GB2312"/>
                <w:sz w:val="24"/>
                <w:lang w:val="en-US" w:eastAsia="zh-CN"/>
              </w:rPr>
              <w:t>任务3：</w:t>
            </w:r>
            <w:r>
              <w:rPr>
                <w:rFonts w:hint="eastAsia" w:ascii="Calibri" w:hAnsi="Calibri" w:eastAsia="宋体" w:cs="Times New Roman"/>
                <w:szCs w:val="21"/>
                <w:lang w:val="en-US" w:eastAsia="zh-CN"/>
              </w:rPr>
              <w:t>稳步推进广播电视公共服务体系建设，确保各乡镇直播卫星终端用户的正常收听收看，</w:t>
            </w:r>
            <w:r>
              <w:rPr>
                <w:rFonts w:hint="eastAsia" w:ascii="Calibri" w:hAnsi="Calibri" w:cs="Times New Roman"/>
                <w:szCs w:val="21"/>
                <w:lang w:val="en-US" w:eastAsia="zh-CN"/>
              </w:rPr>
              <w:t>定期检修广电网络及专业设备，全面落实节目“三审制”，</w:t>
            </w:r>
            <w:r>
              <w:rPr>
                <w:rFonts w:hint="eastAsia" w:ascii="Calibri" w:hAnsi="Calibri" w:eastAsia="宋体" w:cs="Times New Roman"/>
                <w:szCs w:val="21"/>
                <w:lang w:val="en-US" w:eastAsia="zh-CN"/>
              </w:rPr>
              <w:t>确保全年播出安全零事故；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405" w:hRule="atLeast"/>
          <w:jc w:val="center"/>
        </w:trPr>
        <w:tc>
          <w:tcPr>
            <w:tcW w:w="165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年度部门（单位）总体运行情况及取得的成绩</w:t>
            </w:r>
          </w:p>
        </w:tc>
        <w:tc>
          <w:tcPr>
            <w:tcW w:w="8148" w:type="dxa"/>
            <w:gridSpan w:val="14"/>
            <w:vAlign w:val="center"/>
          </w:tcPr>
          <w:p>
            <w:pPr>
              <w:autoSpaceDN w:val="0"/>
              <w:spacing w:line="320" w:lineRule="exact"/>
              <w:ind w:firstLine="480" w:firstLineChars="200"/>
              <w:jc w:val="left"/>
              <w:textAlignment w:val="center"/>
              <w:rPr>
                <w:rFonts w:eastAsia="仿宋_GB2312" w:cs="仿宋_GB2312"/>
                <w:sz w:val="24"/>
              </w:rPr>
            </w:pPr>
            <w:r>
              <w:rPr>
                <w:rFonts w:hint="eastAsia" w:ascii="仿宋_GB2312" w:hAnsi="仿宋_GB2312" w:eastAsia="仿宋_GB2312" w:cs="仿宋_GB2312"/>
                <w:sz w:val="24"/>
                <w:szCs w:val="24"/>
                <w:lang w:val="en-US" w:eastAsia="zh-CN"/>
              </w:rPr>
              <w:t>今年来，我中心持续发力外宣报道，围绕中心、紧扣主题、深入谋划、专班作战，持续传递吉首发展好声音、正能量、新形象。今年已在央级、省州级媒体平台刊播发相关内容568余篇（条），其中被央媒采用31篇（条），被省级媒体录用299篇（条）。其中，1月26日，CCTV-13新闻频道播出了《湖南吉首：观非遗赏民俗 辞旧岁贺新春》报道；9月16日，“吉首融媒”抖音号全网首发的《送兵 坚强的父亲在此刻不禁潜然泪下 !》引发网友热议，点击量达705万+，被新华网等多家媒体转发。</w:t>
            </w:r>
            <w:r>
              <w:rPr>
                <w:rFonts w:hint="eastAsia" w:ascii="仿宋_GB2312" w:hAnsi="仿宋_GB2312" w:eastAsia="仿宋_GB2312" w:cs="仿宋_GB2312"/>
                <w:b w:val="0"/>
                <w:bCs w:val="0"/>
                <w:sz w:val="24"/>
                <w:szCs w:val="24"/>
                <w:lang w:val="en-US" w:eastAsia="zh-CN"/>
              </w:rPr>
              <w:t>“美丽吉首”APP的功能和内容不断改版优化。</w:t>
            </w:r>
            <w:r>
              <w:rPr>
                <w:rFonts w:hint="eastAsia" w:ascii="仿宋_GB2312" w:hAnsi="仿宋_GB2312" w:eastAsia="仿宋_GB2312" w:cs="仿宋_GB2312"/>
                <w:sz w:val="24"/>
                <w:szCs w:val="24"/>
                <w:lang w:val="en-US" w:eastAsia="zh-CN"/>
              </w:rPr>
              <w:t>结合实际，探索推进新时代文明实践中心与融媒体中心“两中心”融合共建，以文明实践活动为切入点，创新科学工作法，逐步整合各类资源，以新媒体赋能文明实践，丰富百姓精神文化生活，让新时代文明实践乐民生、汇民力、暖民心，真正打通宣传群众、教育群众、引领群众、服务群众“最后一公里”。开设了“新时代文明实践中心”专栏，开通志愿者注册、志愿服务队建立等渠道，加强与各市直部门、乡镇街道沟通联系，健全完善《运行管理》《联席会议》等工作机制，通过收集大数据信息，梳理当前我市“爱心拼百分”、“爱心送考”等现有的志愿服务活动品牌，策划一批有地域特点、民族特色、群众喜爱的志愿服务品牌项目，如博爱家园志愿服务队、“检察蓝”志愿服务队等，及时获取群众关切的热点话题，策划有温度、接地气的新闻报道。其中微公益短视频《无烟道》《找文明》《小手拉大手 共创文明城》等作品，获得人民网、新湖南转载点赞，单个视频浏览量突破10万+，动漫类作品《创建文明城市 建设美好家园》《一分钟让你成为垃圾分类小能手》、H5类作品《懂垃圾分类 才是新时尚》《大家来找找，不文明行为你知道几个？》等获得用户转发和点赞。原创公益短视频《吉首市八小：对不文明行为说“不”》《吉首公安：一盔一带 安全出行》等，让吉首正能量持续“出圈”。今年，“美丽吉首”APP发布稿件6958条，破10万作品335条。影响力指数长期稳居全省前三。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7" w:hRule="atLeast"/>
          <w:jc w:val="center"/>
        </w:trPr>
        <w:tc>
          <w:tcPr>
            <w:tcW w:w="9800" w:type="dxa"/>
            <w:gridSpan w:val="16"/>
            <w:vAlign w:val="center"/>
          </w:tcPr>
          <w:p>
            <w:pPr>
              <w:autoSpaceDN w:val="0"/>
              <w:spacing w:line="320" w:lineRule="exact"/>
              <w:jc w:val="center"/>
              <w:textAlignment w:val="center"/>
              <w:rPr>
                <w:rFonts w:eastAsia="仿宋_GB2312" w:cs="仿宋_GB2312"/>
                <w:sz w:val="24"/>
              </w:rPr>
            </w:pPr>
            <w:r>
              <w:rPr>
                <w:rFonts w:hint="eastAsia" w:eastAsia="黑体" w:cs="黑体"/>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2" w:hRule="atLeast"/>
          <w:jc w:val="center"/>
        </w:trPr>
        <w:tc>
          <w:tcPr>
            <w:tcW w:w="9800" w:type="dxa"/>
            <w:gridSpan w:val="16"/>
            <w:vAlign w:val="center"/>
          </w:tcPr>
          <w:p>
            <w:pPr>
              <w:autoSpaceDN w:val="0"/>
              <w:spacing w:line="320" w:lineRule="exact"/>
              <w:jc w:val="center"/>
              <w:textAlignment w:val="center"/>
              <w:rPr>
                <w:rFonts w:eastAsia="仿宋_GB2312" w:cs="仿宋_GB2312"/>
                <w:sz w:val="24"/>
              </w:rPr>
            </w:pPr>
            <w:r>
              <w:rPr>
                <w:rFonts w:hint="eastAsia" w:eastAsia="仿宋_GB2312" w:cs="仿宋_GB2312"/>
                <w:b/>
                <w:bCs/>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2" w:hRule="atLeast"/>
          <w:jc w:val="center"/>
        </w:trPr>
        <w:tc>
          <w:tcPr>
            <w:tcW w:w="1698" w:type="dxa"/>
            <w:gridSpan w:val="3"/>
            <w:vMerge w:val="restart"/>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收入合计</w:t>
            </w:r>
          </w:p>
        </w:tc>
        <w:tc>
          <w:tcPr>
            <w:tcW w:w="7022" w:type="dxa"/>
            <w:gridSpan w:val="12"/>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4" w:hRule="atLeast"/>
          <w:jc w:val="center"/>
        </w:trPr>
        <w:tc>
          <w:tcPr>
            <w:tcW w:w="1698" w:type="dxa"/>
            <w:gridSpan w:val="3"/>
            <w:vMerge w:val="continue"/>
            <w:vAlign w:val="center"/>
          </w:tcPr>
          <w:p>
            <w:pPr>
              <w:autoSpaceDN w:val="0"/>
              <w:spacing w:line="320" w:lineRule="exact"/>
              <w:jc w:val="center"/>
              <w:textAlignment w:val="center"/>
              <w:rPr>
                <w:rFonts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55"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上年结转</w:t>
            </w:r>
          </w:p>
        </w:tc>
        <w:tc>
          <w:tcPr>
            <w:tcW w:w="108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公共财</w:t>
            </w:r>
          </w:p>
          <w:p>
            <w:pPr>
              <w:autoSpaceDN w:val="0"/>
              <w:spacing w:line="320" w:lineRule="exact"/>
              <w:jc w:val="center"/>
              <w:textAlignment w:val="center"/>
              <w:rPr>
                <w:rFonts w:eastAsia="仿宋_GB2312" w:cs="仿宋_GB2312"/>
                <w:sz w:val="24"/>
              </w:rPr>
            </w:pPr>
            <w:r>
              <w:rPr>
                <w:rFonts w:hint="eastAsia" w:eastAsia="仿宋_GB2312" w:cs="仿宋_GB2312"/>
                <w:sz w:val="24"/>
              </w:rPr>
              <w:t>政拨款</w:t>
            </w:r>
          </w:p>
        </w:tc>
        <w:tc>
          <w:tcPr>
            <w:tcW w:w="1705"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政府基金拨款</w:t>
            </w:r>
          </w:p>
        </w:tc>
        <w:tc>
          <w:tcPr>
            <w:tcW w:w="1800" w:type="dxa"/>
            <w:gridSpan w:val="4"/>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纳入专户管理的非税收入拨款</w:t>
            </w:r>
          </w:p>
        </w:tc>
        <w:tc>
          <w:tcPr>
            <w:tcW w:w="1080"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其他</w:t>
            </w:r>
          </w:p>
          <w:p>
            <w:pPr>
              <w:autoSpaceDN w:val="0"/>
              <w:spacing w:line="320" w:lineRule="exact"/>
              <w:jc w:val="center"/>
              <w:textAlignment w:val="center"/>
              <w:rPr>
                <w:rFonts w:eastAsia="仿宋_GB2312" w:cs="仿宋_GB2312"/>
                <w:sz w:val="24"/>
              </w:rPr>
            </w:pPr>
            <w:r>
              <w:rPr>
                <w:rFonts w:hint="eastAsia" w:eastAsia="仿宋_GB2312" w:cs="仿宋_GB2312"/>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72" w:hRule="atLeast"/>
          <w:jc w:val="center"/>
        </w:trPr>
        <w:tc>
          <w:tcPr>
            <w:tcW w:w="1698" w:type="dxa"/>
            <w:gridSpan w:val="3"/>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hint="default" w:eastAsia="仿宋_GB2312" w:cs="仿宋_GB2312"/>
                <w:sz w:val="24"/>
                <w:lang w:val="en-US" w:eastAsia="zh-CN"/>
              </w:rPr>
            </w:pPr>
            <w:r>
              <w:rPr>
                <w:rFonts w:hint="eastAsia" w:eastAsia="仿宋_GB2312" w:cs="仿宋_GB2312"/>
                <w:sz w:val="24"/>
                <w:lang w:val="en-US" w:eastAsia="zh-CN"/>
              </w:rPr>
              <w:t>1376.09</w:t>
            </w:r>
          </w:p>
        </w:tc>
        <w:tc>
          <w:tcPr>
            <w:tcW w:w="1355" w:type="dxa"/>
            <w:gridSpan w:val="2"/>
            <w:tcBorders>
              <w:left w:val="single" w:color="auto" w:sz="4" w:space="0"/>
            </w:tcBorders>
            <w:vAlign w:val="center"/>
          </w:tcPr>
          <w:p>
            <w:pPr>
              <w:autoSpaceDN w:val="0"/>
              <w:spacing w:line="320" w:lineRule="exact"/>
              <w:jc w:val="left"/>
              <w:textAlignment w:val="center"/>
              <w:rPr>
                <w:rFonts w:eastAsia="仿宋_GB2312" w:cs="仿宋_GB2312"/>
                <w:sz w:val="24"/>
              </w:rPr>
            </w:pPr>
          </w:p>
        </w:tc>
        <w:tc>
          <w:tcPr>
            <w:tcW w:w="1082" w:type="dxa"/>
            <w:gridSpan w:val="2"/>
            <w:vAlign w:val="center"/>
          </w:tcPr>
          <w:p>
            <w:pPr>
              <w:autoSpaceDN w:val="0"/>
              <w:spacing w:line="320" w:lineRule="exact"/>
              <w:jc w:val="left"/>
              <w:textAlignment w:val="center"/>
              <w:rPr>
                <w:rFonts w:hint="default" w:eastAsia="仿宋_GB2312" w:cs="仿宋_GB2312"/>
                <w:sz w:val="24"/>
                <w:lang w:val="en-US" w:eastAsia="zh-CN"/>
              </w:rPr>
            </w:pPr>
            <w:r>
              <w:rPr>
                <w:rFonts w:hint="eastAsia" w:eastAsia="仿宋_GB2312" w:cs="仿宋_GB2312"/>
                <w:sz w:val="24"/>
                <w:lang w:val="en-US" w:eastAsia="zh-CN"/>
              </w:rPr>
              <w:t>1376.09</w:t>
            </w:r>
          </w:p>
        </w:tc>
        <w:tc>
          <w:tcPr>
            <w:tcW w:w="1705" w:type="dxa"/>
            <w:gridSpan w:val="2"/>
            <w:vAlign w:val="center"/>
          </w:tcPr>
          <w:p>
            <w:pPr>
              <w:autoSpaceDN w:val="0"/>
              <w:spacing w:line="320" w:lineRule="exact"/>
              <w:jc w:val="left"/>
              <w:textAlignment w:val="center"/>
              <w:rPr>
                <w:rFonts w:eastAsia="仿宋_GB2312" w:cs="仿宋_GB2312"/>
                <w:sz w:val="24"/>
              </w:rPr>
            </w:pPr>
          </w:p>
        </w:tc>
        <w:tc>
          <w:tcPr>
            <w:tcW w:w="1800" w:type="dxa"/>
            <w:gridSpan w:val="4"/>
            <w:vAlign w:val="center"/>
          </w:tcPr>
          <w:p>
            <w:pPr>
              <w:autoSpaceDN w:val="0"/>
              <w:spacing w:line="320" w:lineRule="exact"/>
              <w:jc w:val="center"/>
              <w:textAlignment w:val="center"/>
              <w:rPr>
                <w:rFonts w:eastAsia="仿宋_GB2312" w:cs="仿宋_GB2312"/>
                <w:sz w:val="24"/>
              </w:rPr>
            </w:pPr>
          </w:p>
        </w:tc>
        <w:tc>
          <w:tcPr>
            <w:tcW w:w="1080" w:type="dxa"/>
            <w:gridSpan w:val="2"/>
            <w:vAlign w:val="center"/>
          </w:tcPr>
          <w:p>
            <w:pPr>
              <w:autoSpaceDN w:val="0"/>
              <w:spacing w:line="320" w:lineRule="exact"/>
              <w:jc w:val="left"/>
              <w:textAlignment w:val="center"/>
              <w:rPr>
                <w:rFonts w:hint="default" w:eastAsia="仿宋_GB2312" w:cs="仿宋_GB2312"/>
                <w:sz w:val="24"/>
                <w:lang w:val="en-US" w:eastAsia="zh-CN"/>
              </w:rPr>
            </w:pPr>
            <w:r>
              <w:rPr>
                <w:rFonts w:hint="eastAsia" w:eastAsia="仿宋_GB2312" w:cs="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7" w:hRule="atLeast"/>
          <w:jc w:val="center"/>
        </w:trPr>
        <w:tc>
          <w:tcPr>
            <w:tcW w:w="1698" w:type="dxa"/>
            <w:gridSpan w:val="3"/>
            <w:vAlign w:val="center"/>
          </w:tcPr>
          <w:p>
            <w:pPr>
              <w:spacing w:line="320" w:lineRule="exact"/>
              <w:rPr>
                <w:rFonts w:eastAsia="仿宋_GB2312" w:cs="仿宋_GB2312"/>
                <w:sz w:val="24"/>
              </w:rPr>
            </w:pPr>
            <w:r>
              <w:rPr>
                <w:rFonts w:hint="eastAsia" w:eastAsia="仿宋_GB2312" w:cs="仿宋_GB2312"/>
                <w:sz w:val="24"/>
              </w:rPr>
              <w:t>1、局机关</w:t>
            </w:r>
          </w:p>
        </w:tc>
        <w:tc>
          <w:tcPr>
            <w:tcW w:w="1080" w:type="dxa"/>
            <w:tcBorders>
              <w:right w:val="single" w:color="auto" w:sz="4" w:space="0"/>
            </w:tcBorders>
            <w:vAlign w:val="center"/>
          </w:tcPr>
          <w:p>
            <w:pPr>
              <w:autoSpaceDN w:val="0"/>
              <w:spacing w:line="320" w:lineRule="exact"/>
              <w:jc w:val="left"/>
              <w:textAlignment w:val="center"/>
              <w:rPr>
                <w:rFonts w:hint="default" w:eastAsia="仿宋_GB2312" w:cs="仿宋_GB2312"/>
                <w:sz w:val="24"/>
                <w:lang w:val="en-US" w:eastAsia="zh-CN"/>
              </w:rPr>
            </w:pPr>
            <w:r>
              <w:rPr>
                <w:rFonts w:hint="eastAsia" w:eastAsia="仿宋_GB2312" w:cs="仿宋_GB2312"/>
                <w:sz w:val="24"/>
                <w:lang w:val="en-US" w:eastAsia="zh-CN"/>
              </w:rPr>
              <w:t>1376.09</w:t>
            </w:r>
          </w:p>
        </w:tc>
        <w:tc>
          <w:tcPr>
            <w:tcW w:w="1355" w:type="dxa"/>
            <w:gridSpan w:val="2"/>
            <w:tcBorders>
              <w:left w:val="single" w:color="auto" w:sz="4" w:space="0"/>
            </w:tcBorders>
            <w:vAlign w:val="center"/>
          </w:tcPr>
          <w:p>
            <w:pPr>
              <w:autoSpaceDN w:val="0"/>
              <w:spacing w:line="320" w:lineRule="exact"/>
              <w:jc w:val="left"/>
              <w:textAlignment w:val="center"/>
              <w:rPr>
                <w:rFonts w:eastAsia="仿宋_GB2312" w:cs="仿宋_GB2312"/>
                <w:sz w:val="24"/>
              </w:rPr>
            </w:pPr>
          </w:p>
        </w:tc>
        <w:tc>
          <w:tcPr>
            <w:tcW w:w="1082" w:type="dxa"/>
            <w:gridSpan w:val="2"/>
            <w:vAlign w:val="center"/>
          </w:tcPr>
          <w:p>
            <w:pPr>
              <w:autoSpaceDN w:val="0"/>
              <w:spacing w:line="320" w:lineRule="exact"/>
              <w:jc w:val="left"/>
              <w:textAlignment w:val="center"/>
              <w:rPr>
                <w:rFonts w:hint="default" w:eastAsia="仿宋_GB2312" w:cs="仿宋_GB2312"/>
                <w:sz w:val="24"/>
                <w:lang w:val="en-US" w:eastAsia="zh-CN"/>
              </w:rPr>
            </w:pPr>
            <w:r>
              <w:rPr>
                <w:rFonts w:hint="eastAsia" w:eastAsia="仿宋_GB2312" w:cs="仿宋_GB2312"/>
                <w:sz w:val="24"/>
                <w:lang w:val="en-US" w:eastAsia="zh-CN"/>
              </w:rPr>
              <w:t>1376.09</w:t>
            </w:r>
          </w:p>
        </w:tc>
        <w:tc>
          <w:tcPr>
            <w:tcW w:w="1705" w:type="dxa"/>
            <w:gridSpan w:val="2"/>
            <w:vAlign w:val="center"/>
          </w:tcPr>
          <w:p>
            <w:pPr>
              <w:autoSpaceDN w:val="0"/>
              <w:spacing w:line="320" w:lineRule="exact"/>
              <w:jc w:val="left"/>
              <w:textAlignment w:val="center"/>
              <w:rPr>
                <w:rFonts w:eastAsia="仿宋_GB2312" w:cs="仿宋_GB2312"/>
                <w:sz w:val="24"/>
              </w:rPr>
            </w:pPr>
          </w:p>
        </w:tc>
        <w:tc>
          <w:tcPr>
            <w:tcW w:w="1800" w:type="dxa"/>
            <w:gridSpan w:val="4"/>
            <w:vAlign w:val="center"/>
          </w:tcPr>
          <w:p>
            <w:pPr>
              <w:autoSpaceDN w:val="0"/>
              <w:spacing w:line="320" w:lineRule="exact"/>
              <w:jc w:val="center"/>
              <w:textAlignment w:val="center"/>
              <w:rPr>
                <w:rFonts w:eastAsia="仿宋_GB2312" w:cs="仿宋_GB2312"/>
                <w:sz w:val="24"/>
              </w:rPr>
            </w:pPr>
          </w:p>
        </w:tc>
        <w:tc>
          <w:tcPr>
            <w:tcW w:w="1080" w:type="dxa"/>
            <w:gridSpan w:val="2"/>
            <w:vAlign w:val="center"/>
          </w:tcPr>
          <w:p>
            <w:pPr>
              <w:autoSpaceDN w:val="0"/>
              <w:spacing w:line="320" w:lineRule="exact"/>
              <w:jc w:val="left"/>
              <w:textAlignment w:val="center"/>
              <w:rPr>
                <w:rFonts w:hint="eastAsia" w:eastAsia="仿宋_GB2312" w:cs="仿宋_GB2312"/>
                <w:sz w:val="24"/>
                <w:lang w:val="en-US" w:eastAsia="zh-CN"/>
              </w:rPr>
            </w:pPr>
            <w:r>
              <w:rPr>
                <w:rFonts w:hint="eastAsia" w:eastAsia="仿宋_GB2312" w:cs="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98" w:type="dxa"/>
            <w:gridSpan w:val="3"/>
            <w:vAlign w:val="center"/>
          </w:tcPr>
          <w:p>
            <w:pPr>
              <w:spacing w:line="320" w:lineRule="exact"/>
              <w:rPr>
                <w:rFonts w:eastAsia="仿宋_GB2312" w:cs="仿宋_GB2312"/>
                <w:sz w:val="24"/>
              </w:rPr>
            </w:pPr>
          </w:p>
        </w:tc>
        <w:tc>
          <w:tcPr>
            <w:tcW w:w="1080" w:type="dxa"/>
            <w:tcBorders>
              <w:right w:val="single" w:color="auto" w:sz="4" w:space="0"/>
            </w:tcBorders>
            <w:vAlign w:val="center"/>
          </w:tcPr>
          <w:p>
            <w:pPr>
              <w:autoSpaceDN w:val="0"/>
              <w:spacing w:line="320" w:lineRule="exact"/>
              <w:jc w:val="left"/>
              <w:textAlignment w:val="center"/>
              <w:rPr>
                <w:rFonts w:eastAsia="仿宋_GB2312" w:cs="仿宋_GB2312"/>
                <w:sz w:val="24"/>
              </w:rPr>
            </w:pPr>
          </w:p>
        </w:tc>
        <w:tc>
          <w:tcPr>
            <w:tcW w:w="1355" w:type="dxa"/>
            <w:gridSpan w:val="2"/>
            <w:tcBorders>
              <w:left w:val="single" w:color="auto" w:sz="4" w:space="0"/>
            </w:tcBorders>
            <w:vAlign w:val="center"/>
          </w:tcPr>
          <w:p>
            <w:pPr>
              <w:autoSpaceDN w:val="0"/>
              <w:spacing w:line="320" w:lineRule="exact"/>
              <w:jc w:val="left"/>
              <w:textAlignment w:val="center"/>
              <w:rPr>
                <w:rFonts w:eastAsia="仿宋_GB2312" w:cs="仿宋_GB2312"/>
                <w:sz w:val="24"/>
              </w:rPr>
            </w:pPr>
          </w:p>
        </w:tc>
        <w:tc>
          <w:tcPr>
            <w:tcW w:w="1082" w:type="dxa"/>
            <w:gridSpan w:val="2"/>
            <w:vAlign w:val="center"/>
          </w:tcPr>
          <w:p>
            <w:pPr>
              <w:autoSpaceDN w:val="0"/>
              <w:spacing w:line="320" w:lineRule="exact"/>
              <w:jc w:val="left"/>
              <w:textAlignment w:val="center"/>
              <w:rPr>
                <w:rFonts w:eastAsia="仿宋_GB2312" w:cs="仿宋_GB2312"/>
                <w:sz w:val="24"/>
              </w:rPr>
            </w:pPr>
          </w:p>
        </w:tc>
        <w:tc>
          <w:tcPr>
            <w:tcW w:w="1705" w:type="dxa"/>
            <w:gridSpan w:val="2"/>
            <w:vAlign w:val="center"/>
          </w:tcPr>
          <w:p>
            <w:pPr>
              <w:autoSpaceDN w:val="0"/>
              <w:spacing w:line="320" w:lineRule="exact"/>
              <w:jc w:val="left"/>
              <w:textAlignment w:val="center"/>
              <w:rPr>
                <w:rFonts w:eastAsia="仿宋_GB2312" w:cs="仿宋_GB2312"/>
                <w:sz w:val="24"/>
              </w:rPr>
            </w:pPr>
          </w:p>
        </w:tc>
        <w:tc>
          <w:tcPr>
            <w:tcW w:w="1800" w:type="dxa"/>
            <w:gridSpan w:val="4"/>
            <w:vAlign w:val="center"/>
          </w:tcPr>
          <w:p>
            <w:pPr>
              <w:autoSpaceDN w:val="0"/>
              <w:spacing w:line="320" w:lineRule="exact"/>
              <w:jc w:val="center"/>
              <w:textAlignment w:val="center"/>
              <w:rPr>
                <w:rFonts w:eastAsia="仿宋_GB2312" w:cs="仿宋_GB2312"/>
                <w:sz w:val="24"/>
              </w:rPr>
            </w:pPr>
          </w:p>
        </w:tc>
        <w:tc>
          <w:tcPr>
            <w:tcW w:w="1080" w:type="dxa"/>
            <w:gridSpan w:val="2"/>
            <w:vAlign w:val="center"/>
          </w:tcPr>
          <w:p>
            <w:pPr>
              <w:autoSpaceDN w:val="0"/>
              <w:spacing w:line="320" w:lineRule="exact"/>
              <w:jc w:val="left"/>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98" w:type="dxa"/>
            <w:gridSpan w:val="3"/>
            <w:vAlign w:val="center"/>
          </w:tcPr>
          <w:p>
            <w:pPr>
              <w:spacing w:line="320" w:lineRule="exact"/>
              <w:rPr>
                <w:rFonts w:eastAsia="仿宋_GB2312" w:cs="仿宋_GB2312"/>
                <w:sz w:val="24"/>
              </w:rPr>
            </w:pPr>
          </w:p>
        </w:tc>
        <w:tc>
          <w:tcPr>
            <w:tcW w:w="1080" w:type="dxa"/>
            <w:tcBorders>
              <w:right w:val="single" w:color="auto" w:sz="4" w:space="0"/>
            </w:tcBorders>
            <w:vAlign w:val="center"/>
          </w:tcPr>
          <w:p>
            <w:pPr>
              <w:autoSpaceDN w:val="0"/>
              <w:spacing w:line="320" w:lineRule="exact"/>
              <w:jc w:val="left"/>
              <w:textAlignment w:val="center"/>
              <w:rPr>
                <w:rFonts w:eastAsia="仿宋_GB2312" w:cs="仿宋_GB2312"/>
                <w:sz w:val="24"/>
              </w:rPr>
            </w:pPr>
          </w:p>
        </w:tc>
        <w:tc>
          <w:tcPr>
            <w:tcW w:w="1355" w:type="dxa"/>
            <w:gridSpan w:val="2"/>
            <w:tcBorders>
              <w:left w:val="single" w:color="auto" w:sz="4" w:space="0"/>
            </w:tcBorders>
            <w:vAlign w:val="center"/>
          </w:tcPr>
          <w:p>
            <w:pPr>
              <w:autoSpaceDN w:val="0"/>
              <w:spacing w:line="320" w:lineRule="exact"/>
              <w:jc w:val="left"/>
              <w:textAlignment w:val="center"/>
              <w:rPr>
                <w:rFonts w:eastAsia="仿宋_GB2312" w:cs="仿宋_GB2312"/>
                <w:sz w:val="24"/>
              </w:rPr>
            </w:pPr>
          </w:p>
        </w:tc>
        <w:tc>
          <w:tcPr>
            <w:tcW w:w="1082" w:type="dxa"/>
            <w:gridSpan w:val="2"/>
            <w:vAlign w:val="center"/>
          </w:tcPr>
          <w:p>
            <w:pPr>
              <w:autoSpaceDN w:val="0"/>
              <w:spacing w:line="320" w:lineRule="exact"/>
              <w:jc w:val="left"/>
              <w:textAlignment w:val="center"/>
              <w:rPr>
                <w:rFonts w:eastAsia="仿宋_GB2312" w:cs="仿宋_GB2312"/>
                <w:sz w:val="24"/>
              </w:rPr>
            </w:pPr>
          </w:p>
        </w:tc>
        <w:tc>
          <w:tcPr>
            <w:tcW w:w="1705" w:type="dxa"/>
            <w:gridSpan w:val="2"/>
            <w:vAlign w:val="center"/>
          </w:tcPr>
          <w:p>
            <w:pPr>
              <w:autoSpaceDN w:val="0"/>
              <w:spacing w:line="320" w:lineRule="exact"/>
              <w:jc w:val="left"/>
              <w:textAlignment w:val="center"/>
              <w:rPr>
                <w:rFonts w:eastAsia="仿宋_GB2312" w:cs="仿宋_GB2312"/>
                <w:sz w:val="24"/>
              </w:rPr>
            </w:pPr>
          </w:p>
        </w:tc>
        <w:tc>
          <w:tcPr>
            <w:tcW w:w="1800" w:type="dxa"/>
            <w:gridSpan w:val="4"/>
            <w:vAlign w:val="center"/>
          </w:tcPr>
          <w:p>
            <w:pPr>
              <w:autoSpaceDN w:val="0"/>
              <w:spacing w:line="320" w:lineRule="exact"/>
              <w:jc w:val="center"/>
              <w:textAlignment w:val="center"/>
              <w:rPr>
                <w:rFonts w:eastAsia="仿宋_GB2312" w:cs="仿宋_GB2312"/>
                <w:sz w:val="24"/>
              </w:rPr>
            </w:pPr>
          </w:p>
        </w:tc>
        <w:tc>
          <w:tcPr>
            <w:tcW w:w="1080" w:type="dxa"/>
            <w:gridSpan w:val="2"/>
            <w:vAlign w:val="center"/>
          </w:tcPr>
          <w:p>
            <w:pPr>
              <w:autoSpaceDN w:val="0"/>
              <w:spacing w:line="320" w:lineRule="exact"/>
              <w:jc w:val="left"/>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4" w:hRule="atLeast"/>
          <w:jc w:val="center"/>
        </w:trPr>
        <w:tc>
          <w:tcPr>
            <w:tcW w:w="9800" w:type="dxa"/>
            <w:gridSpan w:val="16"/>
            <w:vAlign w:val="center"/>
          </w:tcPr>
          <w:p>
            <w:pPr>
              <w:autoSpaceDN w:val="0"/>
              <w:spacing w:line="320" w:lineRule="exact"/>
              <w:jc w:val="center"/>
              <w:textAlignment w:val="center"/>
              <w:rPr>
                <w:rFonts w:eastAsia="仿宋_GB2312" w:cs="仿宋_GB2312"/>
                <w:sz w:val="24"/>
              </w:rPr>
            </w:pPr>
            <w:r>
              <w:rPr>
                <w:rFonts w:hint="eastAsia" w:eastAsia="仿宋_GB2312" w:cs="仿宋_GB2312"/>
                <w:b/>
                <w:bCs/>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09" w:hRule="atLeast"/>
          <w:jc w:val="center"/>
        </w:trPr>
        <w:tc>
          <w:tcPr>
            <w:tcW w:w="1698" w:type="dxa"/>
            <w:gridSpan w:val="3"/>
            <w:vMerge w:val="restart"/>
            <w:vAlign w:val="center"/>
          </w:tcPr>
          <w:p>
            <w:pPr>
              <w:snapToGrid w:val="0"/>
              <w:spacing w:line="320" w:lineRule="exact"/>
              <w:jc w:val="center"/>
              <w:rPr>
                <w:rFonts w:eastAsia="仿宋_GB2312" w:cs="仿宋_GB2312"/>
                <w:sz w:val="24"/>
              </w:rPr>
            </w:pPr>
            <w:r>
              <w:rPr>
                <w:rFonts w:hint="eastAsia"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支出合计</w:t>
            </w:r>
          </w:p>
        </w:tc>
        <w:tc>
          <w:tcPr>
            <w:tcW w:w="5677"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其中：</w:t>
            </w:r>
          </w:p>
        </w:tc>
        <w:tc>
          <w:tcPr>
            <w:tcW w:w="1345" w:type="dxa"/>
            <w:gridSpan w:val="3"/>
            <w:tcBorders>
              <w:left w:val="single" w:color="auto" w:sz="4" w:space="0"/>
              <w:bottom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60" w:hRule="atLeast"/>
          <w:jc w:val="center"/>
        </w:trPr>
        <w:tc>
          <w:tcPr>
            <w:tcW w:w="1698" w:type="dxa"/>
            <w:gridSpan w:val="3"/>
            <w:vMerge w:val="continue"/>
            <w:vAlign w:val="center"/>
          </w:tcPr>
          <w:p>
            <w:pPr>
              <w:spacing w:line="320" w:lineRule="exact"/>
              <w:jc w:val="center"/>
              <w:rPr>
                <w:rFonts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基本支出</w:t>
            </w:r>
          </w:p>
        </w:tc>
        <w:tc>
          <w:tcPr>
            <w:tcW w:w="3242" w:type="dxa"/>
            <w:gridSpan w:val="6"/>
            <w:tcBorders>
              <w:top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项目支出</w:t>
            </w:r>
          </w:p>
        </w:tc>
        <w:tc>
          <w:tcPr>
            <w:tcW w:w="720" w:type="dxa"/>
            <w:gridSpan w:val="2"/>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49" w:hRule="atLeast"/>
          <w:jc w:val="center"/>
        </w:trPr>
        <w:tc>
          <w:tcPr>
            <w:tcW w:w="1698" w:type="dxa"/>
            <w:gridSpan w:val="3"/>
            <w:vMerge w:val="continue"/>
            <w:vAlign w:val="center"/>
          </w:tcPr>
          <w:p>
            <w:pPr>
              <w:spacing w:line="320" w:lineRule="exact"/>
              <w:jc w:val="center"/>
              <w:rPr>
                <w:rFonts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108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人员支出</w:t>
            </w:r>
          </w:p>
        </w:tc>
        <w:tc>
          <w:tcPr>
            <w:tcW w:w="2160" w:type="dxa"/>
            <w:gridSpan w:val="4"/>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720" w:type="dxa"/>
            <w:gridSpan w:val="2"/>
            <w:vMerge w:val="continue"/>
            <w:tcBorders>
              <w:left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698" w:type="dxa"/>
            <w:gridSpan w:val="3"/>
            <w:vAlign w:val="center"/>
          </w:tcPr>
          <w:p>
            <w:pPr>
              <w:spacing w:line="320" w:lineRule="exact"/>
              <w:jc w:val="left"/>
              <w:rPr>
                <w:rFonts w:eastAsia="仿宋_GB2312" w:cs="仿宋_GB2312"/>
                <w:sz w:val="24"/>
              </w:rPr>
            </w:pPr>
            <w:r>
              <w:rPr>
                <w:rFonts w:hint="eastAsia" w:eastAsia="仿宋_GB2312" w:cs="仿宋_GB2312"/>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1376.09</w:t>
            </w:r>
          </w:p>
        </w:tc>
        <w:tc>
          <w:tcPr>
            <w:tcW w:w="1355" w:type="dxa"/>
            <w:gridSpan w:val="2"/>
            <w:tcBorders>
              <w:left w:val="single" w:color="auto" w:sz="4" w:space="0"/>
            </w:tcBorders>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1183.35</w:t>
            </w:r>
          </w:p>
        </w:tc>
        <w:tc>
          <w:tcPr>
            <w:tcW w:w="1082" w:type="dxa"/>
            <w:gridSpan w:val="2"/>
            <w:vAlign w:val="center"/>
          </w:tcPr>
          <w:p>
            <w:pPr>
              <w:autoSpaceDN w:val="0"/>
              <w:spacing w:line="320" w:lineRule="exact"/>
              <w:jc w:val="both"/>
              <w:textAlignment w:val="center"/>
              <w:rPr>
                <w:rFonts w:hint="default" w:eastAsia="仿宋_GB2312" w:cs="仿宋_GB2312"/>
                <w:sz w:val="24"/>
                <w:lang w:val="en-US" w:eastAsia="zh-CN"/>
              </w:rPr>
            </w:pPr>
            <w:r>
              <w:rPr>
                <w:rFonts w:hint="eastAsia" w:eastAsia="仿宋_GB2312" w:cs="仿宋_GB2312"/>
                <w:sz w:val="24"/>
                <w:lang w:val="en-US" w:eastAsia="zh-CN"/>
              </w:rPr>
              <w:t>1112.04</w:t>
            </w:r>
          </w:p>
        </w:tc>
        <w:tc>
          <w:tcPr>
            <w:tcW w:w="2160" w:type="dxa"/>
            <w:gridSpan w:val="4"/>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71.31</w:t>
            </w:r>
          </w:p>
        </w:tc>
        <w:tc>
          <w:tcPr>
            <w:tcW w:w="1080" w:type="dxa"/>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192.74</w:t>
            </w:r>
          </w:p>
        </w:tc>
        <w:tc>
          <w:tcPr>
            <w:tcW w:w="720" w:type="dxa"/>
            <w:gridSpan w:val="2"/>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625" w:type="dxa"/>
            <w:tcBorders>
              <w:left w:val="single" w:color="auto" w:sz="4" w:space="0"/>
            </w:tcBorders>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Align w:val="center"/>
          </w:tcPr>
          <w:p>
            <w:pPr>
              <w:spacing w:line="320" w:lineRule="exact"/>
              <w:jc w:val="left"/>
              <w:rPr>
                <w:rFonts w:eastAsia="仿宋_GB2312" w:cs="仿宋_GB2312"/>
                <w:sz w:val="24"/>
              </w:rPr>
            </w:pPr>
            <w:r>
              <w:rPr>
                <w:rFonts w:hint="eastAsia"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1376.09</w:t>
            </w:r>
          </w:p>
        </w:tc>
        <w:tc>
          <w:tcPr>
            <w:tcW w:w="1355" w:type="dxa"/>
            <w:gridSpan w:val="2"/>
            <w:tcBorders>
              <w:left w:val="single" w:color="auto" w:sz="4" w:space="0"/>
            </w:tcBorders>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1183.35</w:t>
            </w:r>
          </w:p>
        </w:tc>
        <w:tc>
          <w:tcPr>
            <w:tcW w:w="1082" w:type="dxa"/>
            <w:gridSpan w:val="2"/>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1112.04</w:t>
            </w:r>
          </w:p>
        </w:tc>
        <w:tc>
          <w:tcPr>
            <w:tcW w:w="2160" w:type="dxa"/>
            <w:gridSpan w:val="4"/>
            <w:vAlign w:val="center"/>
          </w:tcPr>
          <w:p>
            <w:pPr>
              <w:autoSpaceDN w:val="0"/>
              <w:spacing w:line="320" w:lineRule="exact"/>
              <w:jc w:val="center"/>
              <w:textAlignment w:val="center"/>
              <w:rPr>
                <w:rFonts w:hint="default" w:eastAsia="仿宋_GB2312" w:cs="仿宋_GB2312"/>
                <w:sz w:val="24"/>
                <w:lang w:val="en-US"/>
              </w:rPr>
            </w:pPr>
            <w:r>
              <w:rPr>
                <w:rFonts w:hint="eastAsia" w:eastAsia="仿宋_GB2312" w:cs="仿宋_GB2312"/>
                <w:sz w:val="24"/>
                <w:lang w:val="en-US" w:eastAsia="zh-CN"/>
              </w:rPr>
              <w:t>71.31</w:t>
            </w:r>
          </w:p>
        </w:tc>
        <w:tc>
          <w:tcPr>
            <w:tcW w:w="1080" w:type="dxa"/>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192.74</w:t>
            </w:r>
          </w:p>
        </w:tc>
        <w:tc>
          <w:tcPr>
            <w:tcW w:w="720" w:type="dxa"/>
            <w:gridSpan w:val="2"/>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625" w:type="dxa"/>
            <w:tcBorders>
              <w:left w:val="single" w:color="auto" w:sz="4" w:space="0"/>
            </w:tcBorders>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Align w:val="center"/>
          </w:tcPr>
          <w:p>
            <w:pPr>
              <w:spacing w:line="320" w:lineRule="exact"/>
              <w:jc w:val="left"/>
              <w:rPr>
                <w:rFonts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55"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1082" w:type="dxa"/>
            <w:gridSpan w:val="2"/>
            <w:vAlign w:val="center"/>
          </w:tcPr>
          <w:p>
            <w:pPr>
              <w:autoSpaceDN w:val="0"/>
              <w:spacing w:line="320" w:lineRule="exact"/>
              <w:jc w:val="center"/>
              <w:textAlignment w:val="center"/>
              <w:rPr>
                <w:rFonts w:eastAsia="仿宋_GB2312" w:cs="仿宋_GB2312"/>
                <w:sz w:val="24"/>
              </w:rPr>
            </w:pPr>
          </w:p>
        </w:tc>
        <w:tc>
          <w:tcPr>
            <w:tcW w:w="2160" w:type="dxa"/>
            <w:gridSpan w:val="4"/>
            <w:vAlign w:val="center"/>
          </w:tcPr>
          <w:p>
            <w:pPr>
              <w:autoSpaceDN w:val="0"/>
              <w:spacing w:line="320" w:lineRule="exact"/>
              <w:jc w:val="center"/>
              <w:textAlignment w:val="center"/>
              <w:rPr>
                <w:rFonts w:eastAsia="仿宋_GB2312" w:cs="仿宋_GB2312"/>
                <w:sz w:val="24"/>
              </w:rPr>
            </w:pPr>
          </w:p>
        </w:tc>
        <w:tc>
          <w:tcPr>
            <w:tcW w:w="1080" w:type="dxa"/>
            <w:vAlign w:val="center"/>
          </w:tcPr>
          <w:p>
            <w:pPr>
              <w:autoSpaceDN w:val="0"/>
              <w:spacing w:line="320" w:lineRule="exact"/>
              <w:jc w:val="center"/>
              <w:textAlignment w:val="center"/>
              <w:rPr>
                <w:rFonts w:eastAsia="仿宋_GB2312" w:cs="仿宋_GB2312"/>
                <w:sz w:val="24"/>
              </w:rPr>
            </w:pPr>
          </w:p>
        </w:tc>
        <w:tc>
          <w:tcPr>
            <w:tcW w:w="720" w:type="dxa"/>
            <w:gridSpan w:val="2"/>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625" w:type="dxa"/>
            <w:tcBorders>
              <w:left w:val="single" w:color="auto" w:sz="4" w:space="0"/>
            </w:tcBorders>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Align w:val="center"/>
          </w:tcPr>
          <w:p>
            <w:pPr>
              <w:spacing w:line="320" w:lineRule="exact"/>
              <w:jc w:val="left"/>
              <w:rPr>
                <w:rFonts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55"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1082" w:type="dxa"/>
            <w:gridSpan w:val="2"/>
            <w:vAlign w:val="center"/>
          </w:tcPr>
          <w:p>
            <w:pPr>
              <w:autoSpaceDN w:val="0"/>
              <w:spacing w:line="320" w:lineRule="exact"/>
              <w:jc w:val="center"/>
              <w:textAlignment w:val="center"/>
              <w:rPr>
                <w:rFonts w:eastAsia="仿宋_GB2312" w:cs="仿宋_GB2312"/>
                <w:sz w:val="24"/>
              </w:rPr>
            </w:pPr>
          </w:p>
        </w:tc>
        <w:tc>
          <w:tcPr>
            <w:tcW w:w="2160" w:type="dxa"/>
            <w:gridSpan w:val="4"/>
            <w:vAlign w:val="center"/>
          </w:tcPr>
          <w:p>
            <w:pPr>
              <w:autoSpaceDN w:val="0"/>
              <w:spacing w:line="320" w:lineRule="exact"/>
              <w:jc w:val="center"/>
              <w:textAlignment w:val="center"/>
              <w:rPr>
                <w:rFonts w:eastAsia="仿宋_GB2312" w:cs="仿宋_GB2312"/>
                <w:sz w:val="24"/>
              </w:rPr>
            </w:pPr>
          </w:p>
        </w:tc>
        <w:tc>
          <w:tcPr>
            <w:tcW w:w="1080" w:type="dxa"/>
            <w:vAlign w:val="center"/>
          </w:tcPr>
          <w:p>
            <w:pPr>
              <w:autoSpaceDN w:val="0"/>
              <w:spacing w:line="320" w:lineRule="exact"/>
              <w:jc w:val="center"/>
              <w:textAlignment w:val="center"/>
              <w:rPr>
                <w:rFonts w:eastAsia="仿宋_GB2312" w:cs="仿宋_GB2312"/>
                <w:sz w:val="24"/>
              </w:rPr>
            </w:pPr>
          </w:p>
        </w:tc>
        <w:tc>
          <w:tcPr>
            <w:tcW w:w="720" w:type="dxa"/>
            <w:gridSpan w:val="2"/>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625" w:type="dxa"/>
            <w:tcBorders>
              <w:left w:val="single" w:color="auto" w:sz="4" w:space="0"/>
            </w:tcBorders>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4" w:hRule="atLeast"/>
          <w:jc w:val="center"/>
        </w:trPr>
        <w:tc>
          <w:tcPr>
            <w:tcW w:w="1698" w:type="dxa"/>
            <w:gridSpan w:val="3"/>
            <w:vMerge w:val="restart"/>
            <w:vAlign w:val="center"/>
          </w:tcPr>
          <w:p>
            <w:pPr>
              <w:spacing w:line="320" w:lineRule="exact"/>
              <w:jc w:val="center"/>
              <w:rPr>
                <w:rFonts w:eastAsia="仿宋_GB2312" w:cs="仿宋_GB2312"/>
                <w:sz w:val="24"/>
              </w:rPr>
            </w:pPr>
            <w:r>
              <w:rPr>
                <w:rFonts w:hint="eastAsia"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三公经费</w:t>
            </w:r>
          </w:p>
          <w:p>
            <w:pPr>
              <w:autoSpaceDN w:val="0"/>
              <w:spacing w:line="320" w:lineRule="exact"/>
              <w:jc w:val="center"/>
              <w:textAlignment w:val="center"/>
              <w:rPr>
                <w:rFonts w:eastAsia="仿宋_GB2312" w:cs="仿宋_GB2312"/>
                <w:sz w:val="24"/>
              </w:rPr>
            </w:pPr>
            <w:r>
              <w:rPr>
                <w:rFonts w:hint="eastAsia" w:eastAsia="仿宋_GB2312" w:cs="仿宋_GB2312"/>
                <w:sz w:val="24"/>
              </w:rPr>
              <w:t>合计</w:t>
            </w:r>
          </w:p>
        </w:tc>
        <w:tc>
          <w:tcPr>
            <w:tcW w:w="7022" w:type="dxa"/>
            <w:gridSpan w:val="12"/>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Merge w:val="continue"/>
            <w:vAlign w:val="center"/>
          </w:tcPr>
          <w:p>
            <w:pPr>
              <w:spacing w:line="320" w:lineRule="exact"/>
              <w:jc w:val="center"/>
              <w:rPr>
                <w:rFonts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55"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公务接待费</w:t>
            </w:r>
          </w:p>
        </w:tc>
        <w:tc>
          <w:tcPr>
            <w:tcW w:w="108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公务用车运行维护费</w:t>
            </w:r>
          </w:p>
        </w:tc>
        <w:tc>
          <w:tcPr>
            <w:tcW w:w="2160" w:type="dxa"/>
            <w:gridSpan w:val="4"/>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公务用车购置费</w:t>
            </w:r>
          </w:p>
        </w:tc>
        <w:tc>
          <w:tcPr>
            <w:tcW w:w="2425" w:type="dxa"/>
            <w:gridSpan w:val="4"/>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因公出国（</w:t>
            </w:r>
            <w:r>
              <w:rPr>
                <w:rFonts w:hint="eastAsia" w:cs="宋体"/>
                <w:sz w:val="24"/>
              </w:rPr>
              <w:t>境）</w:t>
            </w:r>
            <w:r>
              <w:rPr>
                <w:rFonts w:hint="eastAsia" w:eastAsia="仿宋_GB2312" w:cs="仿宋_GB2312"/>
                <w:sz w:val="24"/>
              </w:rPr>
              <w:t>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698" w:type="dxa"/>
            <w:gridSpan w:val="3"/>
            <w:vAlign w:val="center"/>
          </w:tcPr>
          <w:p>
            <w:pPr>
              <w:spacing w:line="320" w:lineRule="exact"/>
              <w:jc w:val="left"/>
              <w:rPr>
                <w:rFonts w:eastAsia="仿宋_GB2312" w:cs="仿宋_GB2312"/>
                <w:sz w:val="24"/>
              </w:rPr>
            </w:pPr>
            <w:r>
              <w:rPr>
                <w:rFonts w:hint="eastAsia" w:eastAsia="仿宋_GB2312" w:cs="仿宋_GB2312"/>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1355" w:type="dxa"/>
            <w:gridSpan w:val="2"/>
            <w:tcBorders>
              <w:left w:val="single" w:color="auto" w:sz="4" w:space="0"/>
            </w:tcBorders>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1082" w:type="dxa"/>
            <w:gridSpan w:val="2"/>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2160" w:type="dxa"/>
            <w:gridSpan w:val="4"/>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2425" w:type="dxa"/>
            <w:gridSpan w:val="4"/>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9" w:hRule="atLeast"/>
          <w:jc w:val="center"/>
        </w:trPr>
        <w:tc>
          <w:tcPr>
            <w:tcW w:w="1698" w:type="dxa"/>
            <w:gridSpan w:val="3"/>
            <w:vAlign w:val="center"/>
          </w:tcPr>
          <w:p>
            <w:pPr>
              <w:spacing w:line="320" w:lineRule="exact"/>
              <w:jc w:val="left"/>
              <w:rPr>
                <w:rFonts w:eastAsia="仿宋_GB2312" w:cs="仿宋_GB2312"/>
                <w:sz w:val="24"/>
              </w:rPr>
            </w:pPr>
            <w:r>
              <w:rPr>
                <w:rFonts w:hint="eastAsia"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1355" w:type="dxa"/>
            <w:gridSpan w:val="2"/>
            <w:tcBorders>
              <w:left w:val="single" w:color="auto" w:sz="4" w:space="0"/>
            </w:tcBorders>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1082" w:type="dxa"/>
            <w:gridSpan w:val="2"/>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2160" w:type="dxa"/>
            <w:gridSpan w:val="4"/>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2425" w:type="dxa"/>
            <w:gridSpan w:val="4"/>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Align w:val="center"/>
          </w:tcPr>
          <w:p>
            <w:pPr>
              <w:spacing w:line="320" w:lineRule="exact"/>
              <w:jc w:val="left"/>
              <w:rPr>
                <w:rFonts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55"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1082" w:type="dxa"/>
            <w:gridSpan w:val="2"/>
            <w:vAlign w:val="center"/>
          </w:tcPr>
          <w:p>
            <w:pPr>
              <w:autoSpaceDN w:val="0"/>
              <w:spacing w:line="320" w:lineRule="exact"/>
              <w:jc w:val="center"/>
              <w:textAlignment w:val="center"/>
              <w:rPr>
                <w:rFonts w:eastAsia="仿宋_GB2312" w:cs="仿宋_GB2312"/>
                <w:sz w:val="24"/>
              </w:rPr>
            </w:pPr>
          </w:p>
        </w:tc>
        <w:tc>
          <w:tcPr>
            <w:tcW w:w="2160" w:type="dxa"/>
            <w:gridSpan w:val="4"/>
            <w:vAlign w:val="center"/>
          </w:tcPr>
          <w:p>
            <w:pPr>
              <w:autoSpaceDN w:val="0"/>
              <w:spacing w:line="320" w:lineRule="exact"/>
              <w:jc w:val="center"/>
              <w:textAlignment w:val="center"/>
              <w:rPr>
                <w:rFonts w:eastAsia="仿宋_GB2312" w:cs="仿宋_GB2312"/>
                <w:sz w:val="24"/>
              </w:rPr>
            </w:pPr>
          </w:p>
        </w:tc>
        <w:tc>
          <w:tcPr>
            <w:tcW w:w="2425" w:type="dxa"/>
            <w:gridSpan w:val="4"/>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Align w:val="center"/>
          </w:tcPr>
          <w:p>
            <w:pPr>
              <w:spacing w:line="320" w:lineRule="exact"/>
              <w:jc w:val="left"/>
              <w:rPr>
                <w:rFonts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55"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1082" w:type="dxa"/>
            <w:gridSpan w:val="2"/>
            <w:vAlign w:val="center"/>
          </w:tcPr>
          <w:p>
            <w:pPr>
              <w:autoSpaceDN w:val="0"/>
              <w:spacing w:line="320" w:lineRule="exact"/>
              <w:jc w:val="center"/>
              <w:textAlignment w:val="center"/>
              <w:rPr>
                <w:rFonts w:eastAsia="仿宋_GB2312" w:cs="仿宋_GB2312"/>
                <w:sz w:val="24"/>
              </w:rPr>
            </w:pPr>
          </w:p>
        </w:tc>
        <w:tc>
          <w:tcPr>
            <w:tcW w:w="2160" w:type="dxa"/>
            <w:gridSpan w:val="4"/>
            <w:vAlign w:val="center"/>
          </w:tcPr>
          <w:p>
            <w:pPr>
              <w:autoSpaceDN w:val="0"/>
              <w:spacing w:line="320" w:lineRule="exact"/>
              <w:jc w:val="center"/>
              <w:textAlignment w:val="center"/>
              <w:rPr>
                <w:rFonts w:eastAsia="仿宋_GB2312" w:cs="仿宋_GB2312"/>
                <w:sz w:val="24"/>
              </w:rPr>
            </w:pPr>
          </w:p>
        </w:tc>
        <w:tc>
          <w:tcPr>
            <w:tcW w:w="2425" w:type="dxa"/>
            <w:gridSpan w:val="4"/>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4" w:hRule="atLeast"/>
          <w:jc w:val="center"/>
        </w:trPr>
        <w:tc>
          <w:tcPr>
            <w:tcW w:w="1698" w:type="dxa"/>
            <w:gridSpan w:val="3"/>
            <w:vMerge w:val="restart"/>
            <w:vAlign w:val="center"/>
          </w:tcPr>
          <w:p>
            <w:pPr>
              <w:spacing w:line="320" w:lineRule="exact"/>
              <w:jc w:val="center"/>
              <w:rPr>
                <w:rFonts w:eastAsia="仿宋_GB2312" w:cs="仿宋_GB2312"/>
                <w:sz w:val="24"/>
              </w:rPr>
            </w:pPr>
            <w:r>
              <w:rPr>
                <w:rFonts w:hint="eastAsia"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固定资产</w:t>
            </w:r>
          </w:p>
          <w:p>
            <w:pPr>
              <w:autoSpaceDN w:val="0"/>
              <w:spacing w:line="320" w:lineRule="exact"/>
              <w:jc w:val="center"/>
              <w:textAlignment w:val="center"/>
              <w:rPr>
                <w:rFonts w:eastAsia="仿宋_GB2312" w:cs="仿宋_GB2312"/>
                <w:sz w:val="24"/>
              </w:rPr>
            </w:pPr>
            <w:r>
              <w:rPr>
                <w:rFonts w:hint="eastAsia" w:eastAsia="仿宋_GB2312" w:cs="仿宋_GB2312"/>
                <w:sz w:val="24"/>
              </w:rPr>
              <w:t>合计</w:t>
            </w:r>
          </w:p>
        </w:tc>
        <w:tc>
          <w:tcPr>
            <w:tcW w:w="7022" w:type="dxa"/>
            <w:gridSpan w:val="12"/>
            <w:tcBorders>
              <w:left w:val="single" w:color="auto" w:sz="4" w:space="0"/>
            </w:tcBorders>
            <w:vAlign w:val="center"/>
          </w:tcPr>
          <w:p>
            <w:pPr>
              <w:autoSpaceDN w:val="0"/>
              <w:spacing w:line="320" w:lineRule="exact"/>
              <w:ind w:firstLine="2160" w:firstLineChars="900"/>
              <w:textAlignment w:val="center"/>
              <w:rPr>
                <w:rFonts w:eastAsia="仿宋_GB2312" w:cs="仿宋_GB2312"/>
                <w:sz w:val="24"/>
              </w:rPr>
            </w:pPr>
            <w:r>
              <w:rPr>
                <w:rFonts w:hint="eastAsia" w:eastAsia="仿宋_GB2312" w:cs="仿宋_GB2312"/>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79" w:hRule="atLeast"/>
          <w:jc w:val="center"/>
        </w:trPr>
        <w:tc>
          <w:tcPr>
            <w:tcW w:w="1698" w:type="dxa"/>
            <w:gridSpan w:val="3"/>
            <w:vMerge w:val="continue"/>
            <w:vAlign w:val="center"/>
          </w:tcPr>
          <w:p>
            <w:pPr>
              <w:spacing w:line="320" w:lineRule="exact"/>
              <w:jc w:val="center"/>
              <w:rPr>
                <w:rFonts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2437" w:type="dxa"/>
            <w:gridSpan w:val="4"/>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在用固定资产</w:t>
            </w:r>
          </w:p>
        </w:tc>
        <w:tc>
          <w:tcPr>
            <w:tcW w:w="3240" w:type="dxa"/>
            <w:gridSpan w:val="5"/>
            <w:tcBorders>
              <w:top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出租固定资产</w:t>
            </w:r>
          </w:p>
        </w:tc>
        <w:tc>
          <w:tcPr>
            <w:tcW w:w="1345" w:type="dxa"/>
            <w:gridSpan w:val="3"/>
            <w:tcBorders>
              <w:top w:val="single" w:color="auto" w:sz="4" w:space="0"/>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698" w:type="dxa"/>
            <w:gridSpan w:val="3"/>
            <w:vAlign w:val="center"/>
          </w:tcPr>
          <w:p>
            <w:pPr>
              <w:spacing w:line="320" w:lineRule="exact"/>
              <w:jc w:val="left"/>
              <w:rPr>
                <w:rFonts w:eastAsia="仿宋_GB2312" w:cs="仿宋_GB2312"/>
                <w:sz w:val="24"/>
              </w:rPr>
            </w:pPr>
            <w:r>
              <w:rPr>
                <w:rFonts w:hint="eastAsia" w:eastAsia="仿宋_GB2312" w:cs="仿宋_GB2312"/>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3862</w:t>
            </w:r>
          </w:p>
        </w:tc>
        <w:tc>
          <w:tcPr>
            <w:tcW w:w="2437" w:type="dxa"/>
            <w:gridSpan w:val="4"/>
            <w:tcBorders>
              <w:left w:val="single" w:color="auto" w:sz="4" w:space="0"/>
            </w:tcBorders>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2580.77</w:t>
            </w:r>
          </w:p>
        </w:tc>
        <w:tc>
          <w:tcPr>
            <w:tcW w:w="3240" w:type="dxa"/>
            <w:gridSpan w:val="5"/>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1177</w:t>
            </w:r>
          </w:p>
        </w:tc>
        <w:tc>
          <w:tcPr>
            <w:tcW w:w="1345" w:type="dxa"/>
            <w:gridSpan w:val="3"/>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Align w:val="center"/>
          </w:tcPr>
          <w:p>
            <w:pPr>
              <w:spacing w:line="320" w:lineRule="exact"/>
              <w:jc w:val="left"/>
              <w:rPr>
                <w:rFonts w:eastAsia="仿宋_GB2312" w:cs="仿宋_GB2312"/>
                <w:sz w:val="24"/>
              </w:rPr>
            </w:pPr>
            <w:r>
              <w:rPr>
                <w:rFonts w:hint="eastAsia"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3862</w:t>
            </w:r>
          </w:p>
        </w:tc>
        <w:tc>
          <w:tcPr>
            <w:tcW w:w="2437" w:type="dxa"/>
            <w:gridSpan w:val="4"/>
            <w:tcBorders>
              <w:left w:val="single" w:color="auto" w:sz="4" w:space="0"/>
            </w:tcBorders>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2580.77</w:t>
            </w:r>
          </w:p>
        </w:tc>
        <w:tc>
          <w:tcPr>
            <w:tcW w:w="3240" w:type="dxa"/>
            <w:gridSpan w:val="5"/>
            <w:vAlign w:val="center"/>
          </w:tcPr>
          <w:p>
            <w:pPr>
              <w:autoSpaceDN w:val="0"/>
              <w:spacing w:line="320" w:lineRule="exact"/>
              <w:jc w:val="center"/>
              <w:textAlignment w:val="center"/>
              <w:rPr>
                <w:rFonts w:hint="default" w:eastAsia="仿宋_GB2312" w:cs="仿宋_GB2312"/>
                <w:sz w:val="24"/>
                <w:lang w:val="en-US" w:eastAsia="zh-CN"/>
              </w:rPr>
            </w:pPr>
            <w:bookmarkStart w:id="0" w:name="_GoBack"/>
            <w:bookmarkEnd w:id="0"/>
            <w:r>
              <w:rPr>
                <w:rFonts w:hint="eastAsia" w:eastAsia="仿宋_GB2312" w:cs="仿宋_GB2312"/>
                <w:sz w:val="24"/>
                <w:lang w:val="en-US" w:eastAsia="zh-CN"/>
              </w:rPr>
              <w:t>1177</w:t>
            </w:r>
          </w:p>
        </w:tc>
        <w:tc>
          <w:tcPr>
            <w:tcW w:w="1345" w:type="dxa"/>
            <w:gridSpan w:val="3"/>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Align w:val="center"/>
          </w:tcPr>
          <w:p>
            <w:pPr>
              <w:spacing w:line="320" w:lineRule="exact"/>
              <w:jc w:val="left"/>
              <w:rPr>
                <w:rFonts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2437" w:type="dxa"/>
            <w:gridSpan w:val="4"/>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3240" w:type="dxa"/>
            <w:gridSpan w:val="5"/>
            <w:vAlign w:val="center"/>
          </w:tcPr>
          <w:p>
            <w:pPr>
              <w:autoSpaceDN w:val="0"/>
              <w:spacing w:line="320" w:lineRule="exact"/>
              <w:jc w:val="center"/>
              <w:textAlignment w:val="center"/>
              <w:rPr>
                <w:rFonts w:eastAsia="仿宋_GB2312" w:cs="仿宋_GB2312"/>
                <w:sz w:val="24"/>
              </w:rPr>
            </w:pPr>
          </w:p>
        </w:tc>
        <w:tc>
          <w:tcPr>
            <w:tcW w:w="1345" w:type="dxa"/>
            <w:gridSpan w:val="3"/>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Align w:val="center"/>
          </w:tcPr>
          <w:p>
            <w:pPr>
              <w:spacing w:line="320" w:lineRule="exact"/>
              <w:jc w:val="left"/>
              <w:rPr>
                <w:rFonts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2437" w:type="dxa"/>
            <w:gridSpan w:val="4"/>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3240" w:type="dxa"/>
            <w:gridSpan w:val="5"/>
            <w:vAlign w:val="center"/>
          </w:tcPr>
          <w:p>
            <w:pPr>
              <w:autoSpaceDN w:val="0"/>
              <w:spacing w:line="320" w:lineRule="exact"/>
              <w:jc w:val="center"/>
              <w:textAlignment w:val="center"/>
              <w:rPr>
                <w:rFonts w:eastAsia="仿宋_GB2312" w:cs="仿宋_GB2312"/>
                <w:sz w:val="24"/>
              </w:rPr>
            </w:pPr>
          </w:p>
        </w:tc>
        <w:tc>
          <w:tcPr>
            <w:tcW w:w="1345" w:type="dxa"/>
            <w:gridSpan w:val="3"/>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7" w:hRule="atLeast"/>
          <w:jc w:val="center"/>
        </w:trPr>
        <w:tc>
          <w:tcPr>
            <w:tcW w:w="9800" w:type="dxa"/>
            <w:gridSpan w:val="16"/>
            <w:vAlign w:val="center"/>
          </w:tcPr>
          <w:p>
            <w:pPr>
              <w:autoSpaceDN w:val="0"/>
              <w:spacing w:line="320" w:lineRule="exact"/>
              <w:jc w:val="center"/>
              <w:textAlignment w:val="center"/>
              <w:rPr>
                <w:rFonts w:eastAsia="仿宋_GB2312" w:cs="仿宋_GB2312"/>
                <w:sz w:val="24"/>
              </w:rPr>
            </w:pPr>
            <w:r>
              <w:rPr>
                <w:rFonts w:hint="eastAsia" w:eastAsia="黑体" w:cs="黑体"/>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0" w:type="dxa"/>
            <w:vMerge w:val="restart"/>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整体支出绩效定性目标及实施计划完成情况</w:t>
            </w:r>
          </w:p>
        </w:tc>
        <w:tc>
          <w:tcPr>
            <w:tcW w:w="3775" w:type="dxa"/>
            <w:gridSpan w:val="7"/>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预期目标</w:t>
            </w:r>
          </w:p>
        </w:tc>
        <w:tc>
          <w:tcPr>
            <w:tcW w:w="4585" w:type="dxa"/>
            <w:gridSpan w:val="8"/>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235" w:hRule="atLeast"/>
          <w:jc w:val="center"/>
        </w:trPr>
        <w:tc>
          <w:tcPr>
            <w:tcW w:w="1440" w:type="dxa"/>
            <w:vMerge w:val="continue"/>
            <w:vAlign w:val="center"/>
          </w:tcPr>
          <w:p>
            <w:pPr>
              <w:spacing w:line="320" w:lineRule="exact"/>
              <w:rPr>
                <w:rFonts w:eastAsia="仿宋_GB2312" w:cs="仿宋_GB2312"/>
                <w:sz w:val="24"/>
              </w:rPr>
            </w:pPr>
          </w:p>
        </w:tc>
        <w:tc>
          <w:tcPr>
            <w:tcW w:w="3775" w:type="dxa"/>
            <w:gridSpan w:val="7"/>
            <w:vAlign w:val="center"/>
          </w:tcPr>
          <w:p>
            <w:pPr>
              <w:spacing w:line="320" w:lineRule="exact"/>
              <w:jc w:val="left"/>
              <w:rPr>
                <w:rFonts w:hint="eastAsia" w:ascii="Calibri" w:hAnsi="Calibri" w:eastAsia="宋体" w:cs="Times New Roman"/>
                <w:szCs w:val="21"/>
                <w:lang w:val="en-US" w:eastAsia="zh-CN"/>
              </w:rPr>
            </w:pPr>
            <w:r>
              <w:rPr>
                <w:rFonts w:hint="eastAsia" w:eastAsia="仿宋_GB2312" w:cs="仿宋_GB2312"/>
                <w:sz w:val="24"/>
              </w:rPr>
              <w:t>目标1：</w:t>
            </w:r>
            <w:r>
              <w:rPr>
                <w:rFonts w:hint="eastAsia" w:ascii="Calibri" w:hAnsi="Calibri" w:eastAsia="宋体" w:cs="Times New Roman"/>
                <w:szCs w:val="21"/>
                <w:lang w:val="en-US" w:eastAsia="zh-CN"/>
              </w:rPr>
              <w:t>紧扣市委市政府各项中心工作，以媒体融合发展为契机，不断加强主流媒体意识形态主阵地建设，</w:t>
            </w:r>
            <w:r>
              <w:rPr>
                <w:rFonts w:hint="eastAsia" w:ascii="宋体" w:hAnsi="宋体" w:eastAsia="宋体"/>
                <w:lang w:val="en-US" w:eastAsia="zh-CN"/>
              </w:rPr>
              <w:t>全年宣传工作聚焦“乡村振兴、基层党建、五进小区、优化营商环境、殡葬改革、文旅融合、高铁新城建设”等重点，推出固定特色的栏目，通过事实报道、细节刻画，积极营造全社会鼓足干劲的良好氛围</w:t>
            </w:r>
            <w:r>
              <w:rPr>
                <w:rFonts w:hint="eastAsia" w:ascii="Calibri" w:hAnsi="Calibri" w:eastAsia="宋体" w:cs="Times New Roman"/>
                <w:szCs w:val="21"/>
                <w:lang w:val="en-US" w:eastAsia="zh-CN"/>
              </w:rPr>
              <w:t>；</w:t>
            </w:r>
          </w:p>
          <w:p>
            <w:pPr>
              <w:spacing w:line="320" w:lineRule="exact"/>
              <w:ind w:firstLine="480" w:firstLineChars="200"/>
              <w:jc w:val="left"/>
              <w:rPr>
                <w:rFonts w:hint="eastAsia" w:ascii="宋体" w:hAnsi="宋体" w:eastAsia="宋体"/>
                <w:lang w:val="en-US" w:eastAsia="zh-CN"/>
              </w:rPr>
            </w:pPr>
            <w:r>
              <w:rPr>
                <w:rFonts w:hint="eastAsia" w:eastAsia="仿宋_GB2312" w:cs="仿宋_GB2312"/>
                <w:sz w:val="24"/>
              </w:rPr>
              <w:t>目标2：</w:t>
            </w:r>
            <w:r>
              <w:rPr>
                <w:rFonts w:hint="eastAsia" w:ascii="宋体" w:hAnsi="宋体" w:eastAsia="宋体"/>
                <w:lang w:val="en-US" w:eastAsia="zh-CN"/>
              </w:rPr>
              <w:t>通过整合广播、电视、网站、客户端、抖音微信公众号、手机报等媒体单元，建立起策、采、编、审、发及效果跟踪的资讯生产流程，初步构建起有本土特色的融媒品牌；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Calibri" w:hAnsi="Calibri" w:eastAsia="宋体" w:cs="Times New Roman"/>
                <w:szCs w:val="21"/>
                <w:lang w:val="en-US" w:eastAsia="zh-CN"/>
              </w:rPr>
            </w:pPr>
            <w:r>
              <w:rPr>
                <w:rFonts w:hint="eastAsia" w:eastAsia="仿宋_GB2312" w:cs="仿宋_GB2312"/>
                <w:sz w:val="24"/>
              </w:rPr>
              <w:t>目标3：</w:t>
            </w:r>
            <w:r>
              <w:rPr>
                <w:rFonts w:hint="eastAsia" w:ascii="Calibri" w:hAnsi="Calibri" w:eastAsia="宋体" w:cs="Times New Roman"/>
                <w:szCs w:val="21"/>
                <w:lang w:val="en-US" w:eastAsia="zh-CN"/>
              </w:rPr>
              <w:t>立足技术升级，稳步推进广播电视公共服务体系建设，确保各乡镇直播卫星终端用户的正常收听收看，</w:t>
            </w:r>
            <w:r>
              <w:rPr>
                <w:rFonts w:hint="eastAsia" w:ascii="Calibri" w:hAnsi="Calibri" w:cs="Times New Roman"/>
                <w:szCs w:val="21"/>
                <w:lang w:val="en-US" w:eastAsia="zh-CN"/>
              </w:rPr>
              <w:t>确保全年安全播出无责任事故；</w:t>
            </w:r>
          </w:p>
          <w:p>
            <w:pPr>
              <w:spacing w:line="320" w:lineRule="exact"/>
              <w:ind w:firstLine="480" w:firstLineChars="200"/>
              <w:jc w:val="left"/>
              <w:rPr>
                <w:rFonts w:eastAsia="仿宋_GB2312" w:cs="仿宋_GB2312"/>
                <w:sz w:val="24"/>
              </w:rPr>
            </w:pPr>
            <w:r>
              <w:rPr>
                <w:rFonts w:hint="eastAsia" w:ascii="Times New Roman" w:hAnsi="Times New Roman" w:eastAsia="仿宋_GB2312" w:cs="仿宋_GB2312"/>
                <w:sz w:val="24"/>
                <w:lang w:val="en-US" w:eastAsia="zh-CN"/>
              </w:rPr>
              <w:t>目标4：</w:t>
            </w:r>
            <w:r>
              <w:rPr>
                <w:rFonts w:hint="eastAsia" w:ascii="宋体" w:hAnsi="宋体" w:eastAsia="宋体"/>
                <w:lang w:val="en-US" w:eastAsia="zh-CN"/>
              </w:rPr>
              <w:t>加强节目策划能力，提升推送稿件、资讯的质量，增强吉首融媒品牌影响力</w:t>
            </w:r>
            <w:r>
              <w:rPr>
                <w:rFonts w:hint="eastAsia" w:ascii="宋体" w:hAnsi="宋体"/>
                <w:lang w:val="en-US" w:eastAsia="zh-CN"/>
              </w:rPr>
              <w:t>。</w:t>
            </w:r>
            <w:r>
              <w:rPr>
                <w:rFonts w:hint="eastAsia" w:ascii="宋体" w:hAnsi="宋体" w:eastAsia="宋体"/>
                <w:lang w:val="en-US" w:eastAsia="zh-CN"/>
              </w:rPr>
              <w:t>加强活动策划，积极探索县级融媒体中心新媒体平台运营的人才管理机制、增强市场化经营能力。</w:t>
            </w:r>
          </w:p>
        </w:tc>
        <w:tc>
          <w:tcPr>
            <w:tcW w:w="4585" w:type="dxa"/>
            <w:gridSpan w:val="8"/>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202</w:t>
            </w:r>
            <w:r>
              <w:rPr>
                <w:rFonts w:hint="eastAsia" w:ascii="Calibri" w:hAnsi="Calibri" w:cs="Times New Roman"/>
                <w:szCs w:val="21"/>
                <w:lang w:val="en-US" w:eastAsia="zh-CN"/>
              </w:rPr>
              <w:t>3</w:t>
            </w:r>
            <w:r>
              <w:rPr>
                <w:rFonts w:hint="eastAsia" w:ascii="Calibri" w:hAnsi="Calibri" w:eastAsia="宋体" w:cs="Times New Roman"/>
                <w:szCs w:val="21"/>
                <w:lang w:val="en-US" w:eastAsia="zh-CN"/>
              </w:rPr>
              <w:t>年度我中心认真落实意识形态工作责任制，贯彻执行行业有关管理规定，积极开展社会化服务，有效凝聚经济社会发展合力圆满完成了市委市政府交办的各项工作任务，实现了年初制定的项目建设目标，现汇报如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吉首市融媒体中心申请开通了人民日报客户端和新华社客户端，同时抢抓时间节点加大外宣上稿力度。比如春节、清明节、五一、国庆期间，在各级平台均有上稿。</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202</w:t>
            </w:r>
            <w:r>
              <w:rPr>
                <w:rFonts w:hint="eastAsia" w:ascii="Calibri" w:hAnsi="Calibri" w:cs="Times New Roman"/>
                <w:szCs w:val="21"/>
                <w:lang w:val="en-US" w:eastAsia="zh-CN"/>
              </w:rPr>
              <w:t>3</w:t>
            </w:r>
            <w:r>
              <w:rPr>
                <w:rFonts w:hint="eastAsia" w:ascii="Calibri" w:hAnsi="Calibri" w:eastAsia="宋体" w:cs="Times New Roman"/>
                <w:szCs w:val="21"/>
                <w:lang w:val="en-US" w:eastAsia="zh-CN"/>
              </w:rPr>
              <w:t>年，中心上稿央视6条，央视客户端5条，人民日报、新华社4条，新华网首页1条，学习强国 35条，湖南卫视上稿37条；其他省级电视媒体86条，新湖南84条。其中，2月5日《祈福纳祥 喜气洋洋过新春》是继十八弯之后再一次上央视新闻联播。真正做到了稿件质量大幅提升、数量稳中有升，为我市的快速发展、谋势造势、讲好吉首故事营造了浓厚的氛围。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完成3115户广播电视直播卫星“户户通”重点民生工程建设的后期管理和维护工作；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eastAsia="仿宋_GB2312" w:cs="仿宋_GB2312"/>
                <w:sz w:val="24"/>
              </w:rPr>
            </w:pPr>
            <w:r>
              <w:rPr>
                <w:rFonts w:hint="eastAsia" w:ascii="Calibri" w:hAnsi="Calibri" w:eastAsia="宋体" w:cs="Times New Roman"/>
                <w:szCs w:val="21"/>
                <w:lang w:val="en-US" w:eastAsia="zh-CN"/>
              </w:rPr>
              <w:t>配合矮寨奇观旅游区创建国家5A景区工作，完成了德夯景区弱电线路整改、下地隐蔽等工程的规划设计、施工</w:t>
            </w:r>
            <w:r>
              <w:rPr>
                <w:rFonts w:hint="eastAsia" w:ascii="Calibri" w:hAnsi="Calibri" w:cs="Times New Roman"/>
                <w:szCs w:val="21"/>
                <w:lang w:val="en-US" w:eastAsia="zh-CN"/>
              </w:rPr>
              <w:t>，</w:t>
            </w:r>
            <w:r>
              <w:rPr>
                <w:rFonts w:hint="eastAsia" w:ascii="Calibri" w:hAnsi="Calibri" w:eastAsia="宋体" w:cs="Times New Roman"/>
                <w:szCs w:val="21"/>
                <w:lang w:val="en-US" w:eastAsia="zh-CN"/>
              </w:rPr>
              <w:t>完成“广电5G”项目的实施，全面清理无线“700M频段”</w:t>
            </w:r>
            <w:r>
              <w:rPr>
                <w:rFonts w:hint="eastAsia" w:ascii="Calibri" w:hAnsi="Calibri" w:cs="Times New Roman"/>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0" w:type="dxa"/>
            <w:vMerge w:val="restart"/>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整体支出</w:t>
            </w:r>
          </w:p>
          <w:p>
            <w:pPr>
              <w:autoSpaceDN w:val="0"/>
              <w:spacing w:line="320" w:lineRule="exact"/>
              <w:jc w:val="center"/>
              <w:textAlignment w:val="center"/>
              <w:rPr>
                <w:rFonts w:eastAsia="仿宋_GB2312" w:cs="仿宋_GB2312"/>
                <w:sz w:val="24"/>
              </w:rPr>
            </w:pPr>
            <w:r>
              <w:rPr>
                <w:rFonts w:hint="eastAsia" w:eastAsia="仿宋_GB2312" w:cs="仿宋_GB2312"/>
                <w:sz w:val="24"/>
              </w:rPr>
              <w:t>绩效定量目标及实施计划完成情况</w:t>
            </w:r>
          </w:p>
        </w:tc>
        <w:tc>
          <w:tcPr>
            <w:tcW w:w="2965" w:type="dxa"/>
            <w:gridSpan w:val="6"/>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评价内容</w:t>
            </w:r>
          </w:p>
        </w:tc>
        <w:tc>
          <w:tcPr>
            <w:tcW w:w="810"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899" w:type="dxa"/>
            <w:gridSpan w:val="3"/>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绩效目标</w:t>
            </w:r>
          </w:p>
        </w:tc>
        <w:tc>
          <w:tcPr>
            <w:tcW w:w="2686" w:type="dxa"/>
            <w:gridSpan w:val="5"/>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4" w:hRule="atLeast"/>
          <w:jc w:val="center"/>
        </w:trPr>
        <w:tc>
          <w:tcPr>
            <w:tcW w:w="1440" w:type="dxa"/>
            <w:vMerge w:val="continue"/>
            <w:vAlign w:val="center"/>
          </w:tcPr>
          <w:p>
            <w:pPr>
              <w:spacing w:line="320" w:lineRule="exact"/>
              <w:rPr>
                <w:rFonts w:eastAsia="仿宋_GB2312" w:cs="仿宋_GB2312"/>
                <w:sz w:val="24"/>
              </w:rPr>
            </w:pPr>
          </w:p>
        </w:tc>
        <w:tc>
          <w:tcPr>
            <w:tcW w:w="2013" w:type="dxa"/>
            <w:gridSpan w:val="4"/>
            <w:vMerge w:val="restart"/>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产出目标</w:t>
            </w:r>
          </w:p>
          <w:p>
            <w:pPr>
              <w:autoSpaceDN w:val="0"/>
              <w:spacing w:line="320" w:lineRule="exact"/>
              <w:jc w:val="center"/>
              <w:textAlignment w:val="center"/>
              <w:rPr>
                <w:rFonts w:eastAsia="仿宋_GB2312" w:cs="仿宋_GB2312"/>
                <w:sz w:val="24"/>
              </w:rPr>
            </w:pPr>
            <w:r>
              <w:rPr>
                <w:rFonts w:hint="eastAsia" w:eastAsia="仿宋_GB2312" w:cs="仿宋_GB2312"/>
                <w:sz w:val="24"/>
              </w:rPr>
              <w:t>（部门工作实绩，包含上级部门和市委市政府布置的重点工作、实事任务等，根据部门实际进行调整细化）</w:t>
            </w:r>
          </w:p>
        </w:tc>
        <w:tc>
          <w:tcPr>
            <w:tcW w:w="952" w:type="dxa"/>
            <w:gridSpan w:val="2"/>
            <w:vMerge w:val="restart"/>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数量、质量、时效、成本指标</w:t>
            </w:r>
          </w:p>
          <w:p>
            <w:pPr>
              <w:autoSpaceDN w:val="0"/>
              <w:spacing w:line="320" w:lineRule="exact"/>
              <w:jc w:val="center"/>
              <w:textAlignment w:val="center"/>
              <w:rPr>
                <w:rFonts w:eastAsia="仿宋_GB2312" w:cs="仿宋_GB2312"/>
                <w:sz w:val="24"/>
              </w:rPr>
            </w:pPr>
          </w:p>
        </w:tc>
        <w:tc>
          <w:tcPr>
            <w:tcW w:w="810" w:type="dxa"/>
            <w:tcBorders>
              <w:right w:val="single" w:color="auto" w:sz="4" w:space="0"/>
            </w:tcBorders>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指标1：</w:t>
            </w:r>
          </w:p>
        </w:tc>
        <w:tc>
          <w:tcPr>
            <w:tcW w:w="1899"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alibri" w:hAnsi="Calibri" w:eastAsia="宋体" w:cs="Times New Roman"/>
                <w:szCs w:val="21"/>
                <w:lang w:val="en-US" w:eastAsia="zh-CN"/>
              </w:rPr>
            </w:pPr>
            <w:r>
              <w:rPr>
                <w:rFonts w:hint="eastAsia" w:ascii="Calibri" w:hAnsi="Calibri" w:cs="Times New Roman"/>
                <w:szCs w:val="21"/>
                <w:lang w:val="en-US" w:eastAsia="zh-CN"/>
              </w:rPr>
              <w:t>:</w:t>
            </w:r>
            <w:r>
              <w:rPr>
                <w:rFonts w:hint="eastAsia" w:ascii="Calibri" w:hAnsi="Calibri" w:eastAsia="宋体" w:cs="Times New Roman"/>
                <w:szCs w:val="21"/>
                <w:lang w:val="en-US" w:eastAsia="zh-CN"/>
              </w:rPr>
              <w:t>会议厅运行与维护</w:t>
            </w:r>
          </w:p>
        </w:tc>
        <w:tc>
          <w:tcPr>
            <w:tcW w:w="2686"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alibri" w:hAnsi="Calibri" w:eastAsia="宋体" w:cs="Times New Roman"/>
                <w:szCs w:val="21"/>
                <w:lang w:val="en-US" w:eastAsia="zh-CN"/>
              </w:rPr>
            </w:pPr>
            <w:r>
              <w:rPr>
                <w:rFonts w:hint="eastAsia" w:ascii="Calibri" w:hAnsi="Calibri" w:cs="Times New Roman"/>
                <w:szCs w:val="21"/>
                <w:lang w:val="en-US" w:eastAsia="zh-CN"/>
              </w:rPr>
              <w:t>设备设施运行正常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99" w:hRule="atLeast"/>
          <w:jc w:val="center"/>
        </w:trPr>
        <w:tc>
          <w:tcPr>
            <w:tcW w:w="1440" w:type="dxa"/>
            <w:vMerge w:val="continue"/>
            <w:vAlign w:val="center"/>
          </w:tcPr>
          <w:p>
            <w:pPr>
              <w:spacing w:line="320" w:lineRule="exact"/>
              <w:rPr>
                <w:rFonts w:eastAsia="仿宋_GB2312" w:cs="仿宋_GB2312"/>
                <w:sz w:val="24"/>
              </w:rPr>
            </w:pPr>
          </w:p>
        </w:tc>
        <w:tc>
          <w:tcPr>
            <w:tcW w:w="2013" w:type="dxa"/>
            <w:gridSpan w:val="4"/>
            <w:vMerge w:val="continue"/>
            <w:vAlign w:val="center"/>
          </w:tcPr>
          <w:p>
            <w:pPr>
              <w:autoSpaceDN w:val="0"/>
              <w:spacing w:line="320" w:lineRule="exact"/>
              <w:rPr>
                <w:rFonts w:eastAsia="仿宋_GB2312" w:cs="仿宋_GB2312"/>
                <w:sz w:val="24"/>
              </w:rPr>
            </w:pPr>
          </w:p>
        </w:tc>
        <w:tc>
          <w:tcPr>
            <w:tcW w:w="952" w:type="dxa"/>
            <w:gridSpan w:val="2"/>
            <w:vMerge w:val="continue"/>
            <w:vAlign w:val="center"/>
          </w:tcPr>
          <w:p>
            <w:pPr>
              <w:autoSpaceDN w:val="0"/>
              <w:spacing w:line="320" w:lineRule="exact"/>
              <w:jc w:val="center"/>
              <w:textAlignment w:val="center"/>
              <w:rPr>
                <w:rFonts w:eastAsia="仿宋_GB2312" w:cs="仿宋_GB2312"/>
                <w:sz w:val="24"/>
              </w:rPr>
            </w:pPr>
          </w:p>
        </w:tc>
        <w:tc>
          <w:tcPr>
            <w:tcW w:w="810" w:type="dxa"/>
            <w:tcBorders>
              <w:right w:val="single" w:color="auto" w:sz="4" w:space="0"/>
            </w:tcBorders>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指标2：</w:t>
            </w:r>
          </w:p>
        </w:tc>
        <w:tc>
          <w:tcPr>
            <w:tcW w:w="1899"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alibri" w:hAnsi="Calibri" w:eastAsia="宋体" w:cs="Times New Roman"/>
                <w:szCs w:val="21"/>
                <w:lang w:val="en-US" w:eastAsia="zh-CN"/>
              </w:rPr>
            </w:pPr>
            <w:r>
              <w:rPr>
                <w:rFonts w:hint="eastAsia" w:ascii="Calibri" w:hAnsi="Calibri" w:cs="Times New Roman"/>
                <w:szCs w:val="21"/>
                <w:lang w:val="en-US" w:eastAsia="zh-CN"/>
              </w:rPr>
              <w:t>全年安全播出</w:t>
            </w:r>
          </w:p>
        </w:tc>
        <w:tc>
          <w:tcPr>
            <w:tcW w:w="2686"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alibri" w:hAnsi="Calibri" w:eastAsia="宋体" w:cs="Times New Roman"/>
                <w:szCs w:val="21"/>
                <w:lang w:val="en-US" w:eastAsia="zh-CN"/>
              </w:rPr>
            </w:pPr>
            <w:r>
              <w:rPr>
                <w:rFonts w:hint="eastAsia" w:ascii="Calibri" w:hAnsi="Calibri" w:cs="Times New Roman"/>
                <w:szCs w:val="21"/>
                <w:lang w:val="en-US" w:eastAsia="zh-CN"/>
              </w:rPr>
              <w:t>无责任事故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09" w:hRule="atLeast"/>
          <w:jc w:val="center"/>
        </w:trPr>
        <w:tc>
          <w:tcPr>
            <w:tcW w:w="1440" w:type="dxa"/>
            <w:vMerge w:val="continue"/>
            <w:vAlign w:val="center"/>
          </w:tcPr>
          <w:p>
            <w:pPr>
              <w:spacing w:line="320" w:lineRule="exact"/>
              <w:rPr>
                <w:rFonts w:eastAsia="仿宋_GB2312" w:cs="仿宋_GB2312"/>
                <w:sz w:val="24"/>
              </w:rPr>
            </w:pPr>
          </w:p>
        </w:tc>
        <w:tc>
          <w:tcPr>
            <w:tcW w:w="2013" w:type="dxa"/>
            <w:gridSpan w:val="4"/>
            <w:vMerge w:val="continue"/>
            <w:vAlign w:val="center"/>
          </w:tcPr>
          <w:p>
            <w:pPr>
              <w:autoSpaceDN w:val="0"/>
              <w:spacing w:line="320" w:lineRule="exact"/>
              <w:rPr>
                <w:rFonts w:eastAsia="仿宋_GB2312" w:cs="仿宋_GB2312"/>
                <w:sz w:val="24"/>
              </w:rPr>
            </w:pPr>
          </w:p>
        </w:tc>
        <w:tc>
          <w:tcPr>
            <w:tcW w:w="952" w:type="dxa"/>
            <w:gridSpan w:val="2"/>
            <w:vMerge w:val="continue"/>
            <w:vAlign w:val="center"/>
          </w:tcPr>
          <w:p>
            <w:pPr>
              <w:autoSpaceDN w:val="0"/>
              <w:spacing w:line="320" w:lineRule="exact"/>
              <w:jc w:val="center"/>
              <w:textAlignment w:val="center"/>
              <w:rPr>
                <w:rFonts w:eastAsia="仿宋_GB2312" w:cs="仿宋_GB2312"/>
                <w:sz w:val="24"/>
              </w:rPr>
            </w:pPr>
          </w:p>
        </w:tc>
        <w:tc>
          <w:tcPr>
            <w:tcW w:w="810" w:type="dxa"/>
            <w:tcBorders>
              <w:right w:val="single" w:color="auto" w:sz="4" w:space="0"/>
            </w:tcBorders>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指标3：</w:t>
            </w:r>
          </w:p>
        </w:tc>
        <w:tc>
          <w:tcPr>
            <w:tcW w:w="1899"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alibri" w:hAnsi="Calibri" w:eastAsia="宋体" w:cs="Times New Roman"/>
                <w:szCs w:val="21"/>
                <w:lang w:val="en-US" w:eastAsia="zh-CN"/>
              </w:rPr>
            </w:pPr>
            <w:r>
              <w:rPr>
                <w:rFonts w:hint="eastAsia" w:ascii="Calibri" w:hAnsi="Calibri" w:cs="Times New Roman"/>
                <w:szCs w:val="21"/>
                <w:lang w:val="en-US" w:eastAsia="zh-CN"/>
              </w:rPr>
              <w:t>稿件创作及获奖</w:t>
            </w:r>
          </w:p>
        </w:tc>
        <w:tc>
          <w:tcPr>
            <w:tcW w:w="2686"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alibri" w:hAnsi="Calibri" w:eastAsia="宋体" w:cs="Times New Roman"/>
                <w:szCs w:val="21"/>
                <w:lang w:val="en-US" w:eastAsia="zh-CN"/>
              </w:rPr>
            </w:pPr>
            <w:r>
              <w:rPr>
                <w:rFonts w:hint="eastAsia" w:ascii="Calibri" w:hAnsi="Calibri" w:cs="Times New Roman"/>
                <w:szCs w:val="21"/>
                <w:lang w:val="en-US" w:eastAsia="zh-CN"/>
              </w:rPr>
              <w:t>全面完成预期目标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9" w:hRule="atLeast"/>
          <w:jc w:val="center"/>
        </w:trPr>
        <w:tc>
          <w:tcPr>
            <w:tcW w:w="1440" w:type="dxa"/>
            <w:vMerge w:val="continue"/>
            <w:vAlign w:val="center"/>
          </w:tcPr>
          <w:p>
            <w:pPr>
              <w:spacing w:line="320" w:lineRule="exact"/>
              <w:rPr>
                <w:rFonts w:eastAsia="仿宋_GB2312" w:cs="仿宋_GB2312"/>
                <w:sz w:val="24"/>
              </w:rPr>
            </w:pPr>
          </w:p>
        </w:tc>
        <w:tc>
          <w:tcPr>
            <w:tcW w:w="2013" w:type="dxa"/>
            <w:gridSpan w:val="4"/>
            <w:vMerge w:val="continue"/>
            <w:vAlign w:val="center"/>
          </w:tcPr>
          <w:p>
            <w:pPr>
              <w:autoSpaceDN w:val="0"/>
              <w:spacing w:line="320" w:lineRule="exact"/>
              <w:rPr>
                <w:rFonts w:eastAsia="仿宋_GB2312" w:cs="仿宋_GB2312"/>
                <w:sz w:val="24"/>
              </w:rPr>
            </w:pPr>
          </w:p>
        </w:tc>
        <w:tc>
          <w:tcPr>
            <w:tcW w:w="952" w:type="dxa"/>
            <w:gridSpan w:val="2"/>
            <w:vMerge w:val="continue"/>
            <w:vAlign w:val="center"/>
          </w:tcPr>
          <w:p>
            <w:pPr>
              <w:autoSpaceDN w:val="0"/>
              <w:spacing w:line="320" w:lineRule="exact"/>
              <w:jc w:val="center"/>
              <w:textAlignment w:val="center"/>
              <w:rPr>
                <w:rFonts w:eastAsia="仿宋_GB2312" w:cs="仿宋_GB2312"/>
                <w:sz w:val="24"/>
              </w:rPr>
            </w:pPr>
          </w:p>
        </w:tc>
        <w:tc>
          <w:tcPr>
            <w:tcW w:w="810" w:type="dxa"/>
            <w:tcBorders>
              <w:right w:val="single" w:color="auto" w:sz="4" w:space="0"/>
            </w:tcBorders>
            <w:vAlign w:val="center"/>
          </w:tcPr>
          <w:p>
            <w:pPr>
              <w:autoSpaceDN w:val="0"/>
              <w:spacing w:line="320" w:lineRule="exact"/>
              <w:jc w:val="left"/>
              <w:textAlignment w:val="center"/>
              <w:rPr>
                <w:rFonts w:hint="default" w:eastAsia="仿宋_GB2312" w:cs="仿宋_GB2312"/>
                <w:sz w:val="24"/>
                <w:lang w:val="en-US" w:eastAsia="zh-CN"/>
              </w:rPr>
            </w:pPr>
            <w:r>
              <w:rPr>
                <w:rFonts w:hint="eastAsia" w:eastAsia="仿宋_GB2312" w:cs="仿宋_GB2312"/>
                <w:sz w:val="24"/>
                <w:lang w:eastAsia="zh-CN"/>
              </w:rPr>
              <w:t>指标</w:t>
            </w:r>
            <w:r>
              <w:rPr>
                <w:rFonts w:hint="eastAsia" w:eastAsia="仿宋_GB2312" w:cs="仿宋_GB2312"/>
                <w:sz w:val="24"/>
                <w:lang w:val="en-US" w:eastAsia="zh-CN"/>
              </w:rPr>
              <w:t>4：</w:t>
            </w:r>
          </w:p>
        </w:tc>
        <w:tc>
          <w:tcPr>
            <w:tcW w:w="1899"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alibri" w:hAnsi="Calibri" w:eastAsia="宋体" w:cs="Times New Roman"/>
                <w:szCs w:val="21"/>
                <w:lang w:val="en-US" w:eastAsia="zh-CN"/>
              </w:rPr>
            </w:pPr>
            <w:r>
              <w:rPr>
                <w:rFonts w:hint="eastAsia" w:ascii="Calibri" w:hAnsi="Calibri" w:cs="Times New Roman"/>
                <w:szCs w:val="21"/>
                <w:lang w:val="en-US" w:eastAsia="zh-CN"/>
              </w:rPr>
              <w:t>广电网络维护服务</w:t>
            </w:r>
          </w:p>
        </w:tc>
        <w:tc>
          <w:tcPr>
            <w:tcW w:w="2686"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Calibri" w:hAnsi="Calibri" w:eastAsia="宋体" w:cs="Times New Roman"/>
                <w:szCs w:val="21"/>
                <w:lang w:val="en-US" w:eastAsia="zh-CN"/>
              </w:rPr>
            </w:pPr>
            <w:r>
              <w:rPr>
                <w:rFonts w:hint="eastAsia" w:ascii="Calibri" w:hAnsi="Calibri" w:cs="Times New Roman"/>
                <w:szCs w:val="21"/>
                <w:lang w:val="en-US" w:eastAsia="zh-CN"/>
              </w:rPr>
              <w:t>确保在网用户稳定收听收看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90" w:hRule="atLeast"/>
          <w:jc w:val="center"/>
        </w:trPr>
        <w:tc>
          <w:tcPr>
            <w:tcW w:w="1440" w:type="dxa"/>
            <w:vMerge w:val="continue"/>
            <w:vAlign w:val="center"/>
          </w:tcPr>
          <w:p>
            <w:pPr>
              <w:spacing w:line="320" w:lineRule="exact"/>
              <w:rPr>
                <w:rFonts w:eastAsia="仿宋_GB2312" w:cs="仿宋_GB2312"/>
                <w:sz w:val="24"/>
              </w:rPr>
            </w:pPr>
          </w:p>
        </w:tc>
        <w:tc>
          <w:tcPr>
            <w:tcW w:w="2013" w:type="dxa"/>
            <w:gridSpan w:val="4"/>
            <w:vMerge w:val="restart"/>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效益目标</w:t>
            </w:r>
          </w:p>
          <w:p>
            <w:pPr>
              <w:autoSpaceDN w:val="0"/>
              <w:spacing w:line="320" w:lineRule="exact"/>
              <w:jc w:val="center"/>
              <w:textAlignment w:val="center"/>
              <w:rPr>
                <w:rFonts w:eastAsia="仿宋_GB2312" w:cs="仿宋_GB2312"/>
                <w:sz w:val="24"/>
              </w:rPr>
            </w:pPr>
            <w:r>
              <w:rPr>
                <w:rFonts w:hint="eastAsia" w:eastAsia="仿宋_GB2312" w:cs="仿宋_GB2312"/>
                <w:sz w:val="24"/>
              </w:rPr>
              <w:t>（预期实现的效益）</w:t>
            </w:r>
          </w:p>
        </w:tc>
        <w:tc>
          <w:tcPr>
            <w:tcW w:w="95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社会、经济、生态效益</w:t>
            </w:r>
          </w:p>
        </w:tc>
        <w:tc>
          <w:tcPr>
            <w:tcW w:w="810" w:type="dxa"/>
            <w:tcBorders>
              <w:right w:val="single" w:color="auto" w:sz="4" w:space="0"/>
            </w:tcBorders>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指标1：</w:t>
            </w:r>
          </w:p>
          <w:p>
            <w:pPr>
              <w:autoSpaceDN w:val="0"/>
              <w:spacing w:line="320" w:lineRule="exact"/>
              <w:jc w:val="left"/>
              <w:textAlignment w:val="center"/>
              <w:rPr>
                <w:rFonts w:eastAsia="仿宋_GB2312" w:cs="仿宋_GB2312"/>
                <w:sz w:val="24"/>
              </w:rPr>
            </w:pPr>
          </w:p>
        </w:tc>
        <w:tc>
          <w:tcPr>
            <w:tcW w:w="1899"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alibri" w:hAnsi="Calibri" w:eastAsia="宋体" w:cs="Times New Roman"/>
                <w:szCs w:val="21"/>
                <w:lang w:val="en-US" w:eastAsia="zh-CN"/>
              </w:rPr>
            </w:pPr>
            <w:r>
              <w:rPr>
                <w:rFonts w:hint="eastAsia" w:ascii="Calibri" w:hAnsi="Calibri" w:cs="Times New Roman"/>
                <w:szCs w:val="21"/>
                <w:lang w:val="en-US" w:eastAsia="zh-CN"/>
              </w:rPr>
              <w:t>区域影响力</w:t>
            </w:r>
          </w:p>
        </w:tc>
        <w:tc>
          <w:tcPr>
            <w:tcW w:w="2686"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alibri" w:hAnsi="Calibri" w:eastAsia="宋体" w:cs="Times New Roman"/>
                <w:szCs w:val="21"/>
                <w:lang w:val="en-US" w:eastAsia="zh-CN"/>
              </w:rPr>
            </w:pPr>
            <w:r>
              <w:rPr>
                <w:rFonts w:hint="eastAsia" w:ascii="Calibri" w:hAnsi="Calibri" w:cs="Times New Roman"/>
                <w:szCs w:val="21"/>
                <w:lang w:val="en-US" w:eastAsia="zh-CN"/>
              </w:rPr>
              <w:t>逐步成长为吉首地区的综合传媒平台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95" w:hRule="atLeast"/>
          <w:jc w:val="center"/>
        </w:trPr>
        <w:tc>
          <w:tcPr>
            <w:tcW w:w="1440" w:type="dxa"/>
            <w:vMerge w:val="continue"/>
            <w:vAlign w:val="center"/>
          </w:tcPr>
          <w:p>
            <w:pPr>
              <w:spacing w:line="320" w:lineRule="exact"/>
              <w:rPr>
                <w:rFonts w:eastAsia="仿宋_GB2312" w:cs="仿宋_GB2312"/>
                <w:sz w:val="24"/>
              </w:rPr>
            </w:pPr>
          </w:p>
        </w:tc>
        <w:tc>
          <w:tcPr>
            <w:tcW w:w="2013" w:type="dxa"/>
            <w:gridSpan w:val="4"/>
            <w:vMerge w:val="continue"/>
            <w:vAlign w:val="center"/>
          </w:tcPr>
          <w:p>
            <w:pPr>
              <w:autoSpaceDN w:val="0"/>
              <w:spacing w:line="320" w:lineRule="exact"/>
              <w:rPr>
                <w:rFonts w:eastAsia="仿宋_GB2312" w:cs="仿宋_GB2312"/>
                <w:sz w:val="24"/>
              </w:rPr>
            </w:pPr>
          </w:p>
        </w:tc>
        <w:tc>
          <w:tcPr>
            <w:tcW w:w="95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社会公众或服务对象满意度</w:t>
            </w:r>
          </w:p>
        </w:tc>
        <w:tc>
          <w:tcPr>
            <w:tcW w:w="810" w:type="dxa"/>
            <w:tcBorders>
              <w:right w:val="single" w:color="auto" w:sz="4" w:space="0"/>
            </w:tcBorders>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指标1：</w:t>
            </w:r>
          </w:p>
          <w:p>
            <w:pPr>
              <w:autoSpaceDN w:val="0"/>
              <w:spacing w:line="320" w:lineRule="exact"/>
              <w:jc w:val="left"/>
              <w:textAlignment w:val="center"/>
              <w:rPr>
                <w:rFonts w:hint="eastAsia" w:eastAsia="仿宋_GB2312" w:cs="仿宋_GB2312"/>
                <w:sz w:val="24"/>
                <w:lang w:eastAsia="zh-CN"/>
              </w:rPr>
            </w:pPr>
            <w:r>
              <w:rPr>
                <w:rFonts w:hint="eastAsia" w:eastAsia="仿宋_GB2312" w:cs="仿宋_GB2312"/>
                <w:sz w:val="24"/>
              </w:rPr>
              <w:t>指标2</w:t>
            </w:r>
            <w:r>
              <w:rPr>
                <w:rFonts w:hint="eastAsia" w:eastAsia="仿宋_GB2312" w:cs="仿宋_GB2312"/>
                <w:sz w:val="24"/>
                <w:lang w:eastAsia="zh-CN"/>
              </w:rPr>
              <w:t>：</w:t>
            </w:r>
          </w:p>
        </w:tc>
        <w:tc>
          <w:tcPr>
            <w:tcW w:w="1899"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alibri" w:hAnsi="Calibri" w:eastAsia="宋体" w:cs="Times New Roman"/>
                <w:szCs w:val="21"/>
                <w:lang w:val="en-US" w:eastAsia="zh-CN"/>
              </w:rPr>
            </w:pPr>
            <w:r>
              <w:rPr>
                <w:rFonts w:hint="eastAsia" w:ascii="Calibri" w:hAnsi="Calibri" w:cs="Times New Roman"/>
                <w:szCs w:val="21"/>
                <w:lang w:val="en-US" w:eastAsia="zh-CN"/>
              </w:rPr>
              <w:t>群众认可度</w:t>
            </w:r>
          </w:p>
        </w:tc>
        <w:tc>
          <w:tcPr>
            <w:tcW w:w="2686"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Calibri" w:hAnsi="Calibri" w:eastAsia="宋体" w:cs="Times New Roman"/>
                <w:szCs w:val="21"/>
                <w:lang w:val="en-US" w:eastAsia="zh-CN"/>
              </w:rPr>
            </w:pPr>
            <w:r>
              <w:rPr>
                <w:rFonts w:hint="eastAsia" w:ascii="Calibri" w:hAnsi="Calibri" w:cs="Times New Roman"/>
                <w:szCs w:val="21"/>
                <w:lang w:val="en-US" w:eastAsia="zh-CN"/>
              </w:rPr>
              <w:t>达95%以上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3453" w:type="dxa"/>
            <w:gridSpan w:val="5"/>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绩效自评综合得分及评价等次</w:t>
            </w:r>
          </w:p>
        </w:tc>
        <w:tc>
          <w:tcPr>
            <w:tcW w:w="6347" w:type="dxa"/>
            <w:gridSpan w:val="11"/>
            <w:vAlign w:val="center"/>
          </w:tcPr>
          <w:p>
            <w:pPr>
              <w:spacing w:line="320" w:lineRule="exact"/>
              <w:ind w:firstLine="630" w:firstLineChars="300"/>
              <w:rPr>
                <w:rFonts w:hint="eastAsia" w:eastAsia="楷体_GB2312"/>
                <w:lang w:eastAsia="zh-CN"/>
              </w:rPr>
            </w:pPr>
            <w:r>
              <w:rPr>
                <w:rFonts w:hint="eastAsia" w:eastAsia="楷体_GB2312"/>
              </w:rPr>
              <w:t xml:space="preserve">评分：        </w:t>
            </w:r>
            <w:r>
              <w:rPr>
                <w:rFonts w:hint="eastAsia" w:eastAsia="楷体_GB2312"/>
                <w:lang w:val="en-US" w:eastAsia="zh-CN"/>
              </w:rPr>
              <w:t>95</w:t>
            </w:r>
            <w:r>
              <w:rPr>
                <w:rFonts w:hint="eastAsia" w:eastAsia="楷体_GB2312"/>
              </w:rPr>
              <w:t xml:space="preserve">                  等级：</w:t>
            </w:r>
            <w:r>
              <w:rPr>
                <w:rFonts w:hint="eastAsia" w:eastAsia="楷体_GB2312"/>
                <w:lang w:eastAsia="zh-CN"/>
              </w:rPr>
              <w:t>良</w:t>
            </w:r>
          </w:p>
          <w:p>
            <w:pPr>
              <w:autoSpaceDN w:val="0"/>
              <w:spacing w:line="320" w:lineRule="exact"/>
              <w:jc w:val="left"/>
              <w:textAlignment w:val="center"/>
              <w:rPr>
                <w:rFonts w:ascii="TimesNewRoman" w:hAnsi="TimesNewRoman"/>
              </w:rPr>
            </w:pPr>
          </w:p>
          <w:p>
            <w:pPr>
              <w:autoSpaceDN w:val="0"/>
              <w:spacing w:line="320" w:lineRule="exact"/>
              <w:jc w:val="left"/>
              <w:textAlignment w:val="center"/>
              <w:rPr>
                <w:rFonts w:eastAsia="仿宋_GB2312" w:cs="仿宋_GB2312"/>
                <w:sz w:val="24"/>
              </w:rPr>
            </w:pPr>
            <w:r>
              <w:rPr>
                <w:rFonts w:hint="eastAsia" w:ascii="TimesNewRoman" w:hAnsi="TimesNewRoman"/>
              </w:rPr>
              <w:t>备注：</w:t>
            </w:r>
            <w:r>
              <w:rPr>
                <w:rFonts w:ascii="TimesNewRoman" w:hAnsi="TimesNewRoman"/>
              </w:rPr>
              <w:t>90</w:t>
            </w:r>
            <w:r>
              <w:rPr>
                <w:rFonts w:hint="eastAsia" w:ascii="仿宋_GB2312" w:eastAsia="仿宋_GB2312"/>
              </w:rPr>
              <w:t>（含）—</w:t>
            </w:r>
            <w:r>
              <w:rPr>
                <w:rFonts w:ascii="TimesNewRoman" w:hAnsi="TimesNewRoman"/>
              </w:rPr>
              <w:t>100</w:t>
            </w:r>
            <w:r>
              <w:rPr>
                <w:rFonts w:hint="eastAsia" w:ascii="仿宋_GB2312" w:eastAsia="仿宋_GB2312"/>
              </w:rPr>
              <w:t>分为优；</w:t>
            </w:r>
            <w:r>
              <w:rPr>
                <w:rFonts w:ascii="TimesNewRoman" w:hAnsi="TimesNewRoman"/>
              </w:rPr>
              <w:t>80</w:t>
            </w:r>
            <w:r>
              <w:rPr>
                <w:rFonts w:hint="eastAsia" w:ascii="仿宋_GB2312" w:eastAsia="仿宋_GB2312"/>
              </w:rPr>
              <w:t>（含）—</w:t>
            </w:r>
            <w:r>
              <w:rPr>
                <w:rFonts w:ascii="TimesNewRoman" w:hAnsi="TimesNewRoman"/>
              </w:rPr>
              <w:t>90</w:t>
            </w:r>
            <w:r>
              <w:rPr>
                <w:rFonts w:hint="eastAsia" w:ascii="仿宋_GB2312" w:eastAsia="仿宋_GB2312"/>
              </w:rPr>
              <w:t>分为良；</w:t>
            </w:r>
            <w:r>
              <w:rPr>
                <w:rFonts w:ascii="TimesNewRoman" w:hAnsi="TimesNewRoman"/>
              </w:rPr>
              <w:t xml:space="preserve"> 60</w:t>
            </w:r>
            <w:r>
              <w:rPr>
                <w:rFonts w:hint="eastAsia" w:ascii="仿宋_GB2312" w:eastAsia="仿宋_GB2312"/>
              </w:rPr>
              <w:t>（含）—</w:t>
            </w:r>
            <w:r>
              <w:rPr>
                <w:rFonts w:ascii="TimesNewRoman" w:hAnsi="TimesNewRoman"/>
              </w:rPr>
              <w:t>80</w:t>
            </w:r>
            <w:r>
              <w:rPr>
                <w:rFonts w:hint="eastAsia" w:ascii="仿宋_GB2312" w:eastAsia="仿宋_GB2312"/>
              </w:rPr>
              <w:t xml:space="preserve"> 分为较差；</w:t>
            </w:r>
            <w:r>
              <w:rPr>
                <w:rFonts w:ascii="TimesNewRoman" w:hAnsi="TimesNewRoman"/>
              </w:rPr>
              <w:t>60</w:t>
            </w:r>
            <w:r>
              <w:rPr>
                <w:rFonts w:hint="eastAsia" w:ascii="仿宋_GB2312" w:eastAsia="仿宋_GB2312"/>
              </w:rPr>
              <w:t>分以下为差。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6"/>
            <w:vAlign w:val="center"/>
          </w:tcPr>
          <w:p>
            <w:pPr>
              <w:autoSpaceDN w:val="0"/>
              <w:spacing w:line="320" w:lineRule="exact"/>
              <w:jc w:val="center"/>
              <w:textAlignment w:val="center"/>
              <w:rPr>
                <w:rFonts w:eastAsia="仿宋_GB2312" w:cs="仿宋_GB2312"/>
                <w:sz w:val="24"/>
              </w:rPr>
            </w:pPr>
            <w:r>
              <w:rPr>
                <w:rFonts w:hint="eastAsia" w:eastAsia="黑体" w:cs="黑体"/>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姓  名</w:t>
            </w:r>
          </w:p>
        </w:tc>
        <w:tc>
          <w:tcPr>
            <w:tcW w:w="3563" w:type="dxa"/>
            <w:gridSpan w:val="6"/>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职务/职称</w:t>
            </w:r>
          </w:p>
        </w:tc>
        <w:tc>
          <w:tcPr>
            <w:tcW w:w="1479" w:type="dxa"/>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单  位</w:t>
            </w:r>
          </w:p>
        </w:tc>
        <w:tc>
          <w:tcPr>
            <w:tcW w:w="3106" w:type="dxa"/>
            <w:gridSpan w:val="7"/>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2" w:type="dxa"/>
            <w:gridSpan w:val="2"/>
            <w:vAlign w:val="center"/>
          </w:tcPr>
          <w:p>
            <w:pPr>
              <w:autoSpaceDN w:val="0"/>
              <w:spacing w:line="320" w:lineRule="exact"/>
              <w:jc w:val="center"/>
              <w:textAlignment w:val="center"/>
              <w:rPr>
                <w:rFonts w:eastAsia="仿宋_GB2312" w:cs="仿宋_GB2312"/>
                <w:sz w:val="24"/>
              </w:rPr>
            </w:pPr>
          </w:p>
        </w:tc>
        <w:tc>
          <w:tcPr>
            <w:tcW w:w="3563" w:type="dxa"/>
            <w:gridSpan w:val="6"/>
            <w:vAlign w:val="center"/>
          </w:tcPr>
          <w:p>
            <w:pPr>
              <w:autoSpaceDN w:val="0"/>
              <w:spacing w:line="320" w:lineRule="exact"/>
              <w:jc w:val="center"/>
              <w:textAlignment w:val="center"/>
              <w:rPr>
                <w:rFonts w:eastAsia="仿宋_GB2312" w:cs="仿宋_GB2312"/>
                <w:sz w:val="24"/>
              </w:rPr>
            </w:pPr>
          </w:p>
        </w:tc>
        <w:tc>
          <w:tcPr>
            <w:tcW w:w="1479" w:type="dxa"/>
            <w:vAlign w:val="center"/>
          </w:tcPr>
          <w:p>
            <w:pPr>
              <w:autoSpaceDN w:val="0"/>
              <w:spacing w:line="320" w:lineRule="exact"/>
              <w:jc w:val="center"/>
              <w:textAlignment w:val="center"/>
              <w:rPr>
                <w:rFonts w:eastAsia="仿宋_GB2312" w:cs="仿宋_GB2312"/>
                <w:sz w:val="24"/>
              </w:rPr>
            </w:pPr>
          </w:p>
        </w:tc>
        <w:tc>
          <w:tcPr>
            <w:tcW w:w="3106" w:type="dxa"/>
            <w:gridSpan w:val="7"/>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2" w:type="dxa"/>
            <w:gridSpan w:val="2"/>
            <w:vAlign w:val="center"/>
          </w:tcPr>
          <w:p>
            <w:pPr>
              <w:autoSpaceDN w:val="0"/>
              <w:spacing w:line="320" w:lineRule="exact"/>
              <w:jc w:val="center"/>
              <w:textAlignment w:val="center"/>
              <w:rPr>
                <w:rFonts w:eastAsia="仿宋_GB2312" w:cs="仿宋_GB2312"/>
                <w:sz w:val="24"/>
              </w:rPr>
            </w:pPr>
          </w:p>
        </w:tc>
        <w:tc>
          <w:tcPr>
            <w:tcW w:w="3563" w:type="dxa"/>
            <w:gridSpan w:val="6"/>
            <w:vAlign w:val="center"/>
          </w:tcPr>
          <w:p>
            <w:pPr>
              <w:autoSpaceDN w:val="0"/>
              <w:spacing w:line="320" w:lineRule="exact"/>
              <w:jc w:val="center"/>
              <w:textAlignment w:val="center"/>
              <w:rPr>
                <w:rFonts w:eastAsia="仿宋_GB2312" w:cs="仿宋_GB2312"/>
                <w:sz w:val="24"/>
              </w:rPr>
            </w:pPr>
          </w:p>
        </w:tc>
        <w:tc>
          <w:tcPr>
            <w:tcW w:w="1479" w:type="dxa"/>
            <w:vAlign w:val="center"/>
          </w:tcPr>
          <w:p>
            <w:pPr>
              <w:autoSpaceDN w:val="0"/>
              <w:spacing w:line="320" w:lineRule="exact"/>
              <w:jc w:val="center"/>
              <w:textAlignment w:val="center"/>
              <w:rPr>
                <w:rFonts w:eastAsia="仿宋_GB2312" w:cs="仿宋_GB2312"/>
                <w:sz w:val="24"/>
              </w:rPr>
            </w:pPr>
          </w:p>
        </w:tc>
        <w:tc>
          <w:tcPr>
            <w:tcW w:w="3106" w:type="dxa"/>
            <w:gridSpan w:val="7"/>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82" w:hRule="atLeast"/>
          <w:jc w:val="center"/>
        </w:trPr>
        <w:tc>
          <w:tcPr>
            <w:tcW w:w="9800" w:type="dxa"/>
            <w:gridSpan w:val="16"/>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评价组组长签署意见：</w:t>
            </w: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ind w:firstLine="5760" w:firstLineChars="2400"/>
              <w:jc w:val="left"/>
              <w:textAlignment w:val="center"/>
              <w:rPr>
                <w:rFonts w:eastAsia="仿宋_GB2312" w:cs="仿宋_GB2312"/>
                <w:sz w:val="24"/>
              </w:rPr>
            </w:pPr>
            <w:r>
              <w:rPr>
                <w:rFonts w:hint="eastAsia" w:eastAsia="仿宋_GB2312" w:cs="仿宋_GB2312"/>
                <w:sz w:val="24"/>
              </w:rPr>
              <w:t>评价组组长（签字）：</w:t>
            </w: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r>
              <w:rPr>
                <w:rFonts w:hint="eastAsia" w:eastAsia="仿宋_GB2312" w:cs="仿宋_GB2312"/>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9800" w:type="dxa"/>
            <w:gridSpan w:val="16"/>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部门（单位）意见：</w:t>
            </w: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r>
              <w:rPr>
                <w:rFonts w:hint="eastAsia" w:eastAsia="仿宋_GB2312" w:cs="仿宋_GB2312"/>
                <w:sz w:val="24"/>
              </w:rPr>
              <w:t xml:space="preserve">      部门（单位）负责人（签字）：                部门（单位）（盖章）：</w:t>
            </w: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r>
              <w:rPr>
                <w:rFonts w:hint="eastAsia" w:eastAsia="仿宋_GB2312" w:cs="仿宋_GB2312"/>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00" w:hRule="atLeast"/>
          <w:jc w:val="center"/>
        </w:trPr>
        <w:tc>
          <w:tcPr>
            <w:tcW w:w="9800" w:type="dxa"/>
            <w:gridSpan w:val="16"/>
            <w:vAlign w:val="center"/>
          </w:tcPr>
          <w:p>
            <w:pPr>
              <w:spacing w:line="320" w:lineRule="exact"/>
              <w:rPr>
                <w:rFonts w:eastAsia="仿宋_GB2312"/>
                <w:sz w:val="24"/>
              </w:rPr>
            </w:pPr>
            <w:r>
              <w:rPr>
                <w:rFonts w:hint="eastAsia" w:eastAsia="仿宋_GB2312"/>
                <w:sz w:val="24"/>
              </w:rPr>
              <w:t>财政部门归口业务股室意见：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财政部门归口业务股室负责人（签字）：         财政部门归口业务股室（盖章）：</w:t>
            </w:r>
          </w:p>
          <w:p>
            <w:pPr>
              <w:autoSpaceDN w:val="0"/>
              <w:spacing w:line="320" w:lineRule="exact"/>
              <w:jc w:val="left"/>
              <w:textAlignment w:val="center"/>
              <w:rPr>
                <w:rFonts w:eastAsia="仿宋_GB2312"/>
                <w:sz w:val="24"/>
              </w:rPr>
            </w:pPr>
            <w:r>
              <w:rPr>
                <w:rFonts w:hint="eastAsia" w:eastAsia="仿宋_GB2312"/>
                <w:sz w:val="24"/>
              </w:rPr>
              <w:t xml:space="preserve">                                                                 </w:t>
            </w:r>
          </w:p>
          <w:p>
            <w:pPr>
              <w:autoSpaceDN w:val="0"/>
              <w:spacing w:line="320" w:lineRule="exact"/>
              <w:ind w:firstLine="7680" w:firstLineChars="3200"/>
              <w:jc w:val="left"/>
              <w:textAlignment w:val="center"/>
              <w:rPr>
                <w:rFonts w:eastAsia="仿宋_GB2312" w:cs="仿宋_GB2312"/>
                <w:sz w:val="24"/>
              </w:rPr>
            </w:pPr>
            <w:r>
              <w:rPr>
                <w:rFonts w:hint="eastAsia" w:eastAsia="仿宋_GB2312"/>
                <w:sz w:val="24"/>
              </w:rPr>
              <w:t>年    月   日</w:t>
            </w:r>
          </w:p>
        </w:tc>
      </w:tr>
    </w:tbl>
    <w:tbl>
      <w:tblPr>
        <w:tblStyle w:val="6"/>
        <w:tblpPr w:leftFromText="180" w:rightFromText="180" w:vertAnchor="text" w:tblpX="10483" w:tblpY="-327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946" w:type="dxa"/>
          </w:tcPr>
          <w:p>
            <w:pPr>
              <w:spacing w:line="560" w:lineRule="exact"/>
              <w:ind w:left="5250"/>
              <w:jc w:val="center"/>
              <w:rPr>
                <w:rFonts w:eastAsia="方正小标宋_GBK"/>
                <w:kern w:val="0"/>
                <w:sz w:val="36"/>
                <w:szCs w:val="36"/>
              </w:rPr>
            </w:pPr>
          </w:p>
        </w:tc>
      </w:tr>
    </w:tbl>
    <w:p>
      <w:pPr>
        <w:rPr>
          <w:rFonts w:eastAsia="方正小标宋简体" w:cs="Arial"/>
          <w:bCs/>
          <w:sz w:val="44"/>
          <w:szCs w:val="44"/>
        </w:rPr>
      </w:pPr>
    </w:p>
    <w:p>
      <w:pPr>
        <w:spacing w:line="578" w:lineRule="atLeast"/>
        <w:ind w:firstLine="1760" w:firstLineChars="400"/>
        <w:rPr>
          <w:rFonts w:eastAsia="楷体_GB2312"/>
          <w:sz w:val="32"/>
          <w:szCs w:val="32"/>
        </w:rPr>
      </w:pPr>
      <w:r>
        <w:rPr>
          <w:rFonts w:hint="eastAsia" w:eastAsia="方正小标宋简体" w:cs="Arial"/>
          <w:bCs/>
          <w:sz w:val="44"/>
          <w:szCs w:val="44"/>
        </w:rPr>
        <w:t>部门整体支出绩效评价报告</w:t>
      </w:r>
    </w:p>
    <w:p>
      <w:pPr>
        <w:spacing w:line="600" w:lineRule="exact"/>
        <w:jc w:val="center"/>
        <w:rPr>
          <w:rFonts w:eastAsia="楷体_GB2312"/>
          <w:sz w:val="32"/>
          <w:szCs w:val="32"/>
        </w:rPr>
      </w:pPr>
    </w:p>
    <w:p>
      <w:pPr>
        <w:spacing w:line="600" w:lineRule="exact"/>
        <w:ind w:firstLine="640" w:firstLineChars="200"/>
        <w:rPr>
          <w:rFonts w:eastAsia="黑体"/>
          <w:sz w:val="32"/>
          <w:szCs w:val="32"/>
        </w:rPr>
      </w:pPr>
      <w:r>
        <w:rPr>
          <w:rFonts w:eastAsia="黑体"/>
          <w:sz w:val="32"/>
          <w:szCs w:val="32"/>
        </w:rPr>
        <w:t>一、基本情况</w:t>
      </w:r>
    </w:p>
    <w:p>
      <w:pPr>
        <w:spacing w:line="600" w:lineRule="exact"/>
        <w:ind w:firstLine="643" w:firstLineChars="200"/>
        <w:rPr>
          <w:rFonts w:hint="eastAsia" w:cs="宋体"/>
          <w:b/>
          <w:bCs/>
          <w:sz w:val="32"/>
          <w:szCs w:val="32"/>
        </w:rPr>
      </w:pPr>
      <w:r>
        <w:rPr>
          <w:rFonts w:eastAsia="楷体_GB2312"/>
          <w:b/>
          <w:bCs/>
          <w:sz w:val="32"/>
          <w:szCs w:val="32"/>
        </w:rPr>
        <w:t>（一）部门（单位）基本情</w:t>
      </w:r>
      <w:r>
        <w:rPr>
          <w:rFonts w:hint="eastAsia" w:cs="宋体"/>
          <w:b/>
          <w:bCs/>
          <w:sz w:val="32"/>
          <w:szCs w:val="32"/>
        </w:rPr>
        <w:t>况</w:t>
      </w:r>
    </w:p>
    <w:p>
      <w:pPr>
        <w:adjustRightInd w:val="0"/>
        <w:snapToGrid w:val="0"/>
        <w:spacing w:line="60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吉首市融媒体中心（市广播电视台）为吉首市人民政府直属正科级（公益一类）财政拨款补助事业单位，归口市委宣传部管理。</w:t>
      </w:r>
    </w:p>
    <w:p>
      <w:pPr>
        <w:adjustRightInd w:val="0"/>
        <w:snapToGrid w:val="0"/>
        <w:spacing w:line="60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我单位设下列内设机构：党政办公室、人事股、审计财务股、技术维护和播控中心、总编室、新闻中心、广播中心、新媒体中心、媒体运营与综艺中心、电广信息网络中心。</w:t>
      </w:r>
    </w:p>
    <w:p>
      <w:pPr>
        <w:spacing w:line="600" w:lineRule="exact"/>
        <w:ind w:firstLine="640" w:firstLineChars="200"/>
        <w:outlineLvl w:val="0"/>
      </w:pPr>
      <w:r>
        <w:rPr>
          <w:rFonts w:hint="eastAsia" w:ascii="仿宋_GB2312" w:eastAsia="仿宋_GB2312"/>
          <w:sz w:val="32"/>
          <w:szCs w:val="32"/>
          <w:lang w:eastAsia="zh-CN"/>
        </w:rPr>
        <w:t>现有</w:t>
      </w:r>
      <w:r>
        <w:rPr>
          <w:rFonts w:hint="eastAsia" w:ascii="仿宋_GB2312" w:eastAsia="仿宋_GB2312"/>
          <w:sz w:val="32"/>
          <w:szCs w:val="32"/>
        </w:rPr>
        <w:t>经市编办核定的</w:t>
      </w:r>
      <w:r>
        <w:rPr>
          <w:rFonts w:hint="eastAsia" w:ascii="仿宋_GB2312" w:eastAsia="仿宋_GB2312"/>
          <w:sz w:val="32"/>
          <w:szCs w:val="32"/>
          <w:lang w:val="en-US" w:eastAsia="zh-CN"/>
        </w:rPr>
        <w:t>78</w:t>
      </w:r>
      <w:r>
        <w:rPr>
          <w:rFonts w:hint="eastAsia" w:ascii="仿宋_GB2312" w:eastAsia="仿宋_GB2312"/>
          <w:sz w:val="32"/>
          <w:szCs w:val="32"/>
        </w:rPr>
        <w:t>名全额拨款事业编制，截至202</w:t>
      </w:r>
      <w:r>
        <w:rPr>
          <w:rFonts w:hint="eastAsia" w:ascii="仿宋_GB2312" w:eastAsia="仿宋_GB2312"/>
          <w:sz w:val="32"/>
          <w:szCs w:val="32"/>
          <w:lang w:val="en-US" w:eastAsia="zh-CN"/>
        </w:rPr>
        <w:t>3</w:t>
      </w:r>
      <w:r>
        <w:rPr>
          <w:rFonts w:hint="eastAsia" w:ascii="仿宋_GB2312" w:eastAsia="仿宋_GB2312"/>
          <w:sz w:val="32"/>
          <w:szCs w:val="32"/>
        </w:rPr>
        <w:t>年12月31日，在职人员共计</w:t>
      </w:r>
      <w:r>
        <w:rPr>
          <w:rFonts w:hint="eastAsia" w:ascii="仿宋_GB2312" w:eastAsia="仿宋_GB2312"/>
          <w:sz w:val="32"/>
          <w:szCs w:val="32"/>
          <w:lang w:val="en-US" w:eastAsia="zh-CN"/>
        </w:rPr>
        <w:t>76</w:t>
      </w:r>
      <w:r>
        <w:rPr>
          <w:rFonts w:hint="eastAsia" w:ascii="仿宋_GB2312" w:eastAsia="仿宋_GB2312"/>
          <w:sz w:val="32"/>
          <w:szCs w:val="32"/>
        </w:rPr>
        <w:t>人，其中财政供养在职人员</w:t>
      </w:r>
      <w:r>
        <w:rPr>
          <w:rFonts w:hint="eastAsia" w:ascii="仿宋_GB2312" w:eastAsia="仿宋_GB2312"/>
          <w:sz w:val="32"/>
          <w:szCs w:val="32"/>
          <w:lang w:val="en-US" w:eastAsia="zh-CN"/>
        </w:rPr>
        <w:t>76</w:t>
      </w:r>
      <w:r>
        <w:rPr>
          <w:rFonts w:hint="eastAsia" w:ascii="仿宋_GB2312" w:eastAsia="仿宋_GB2312"/>
          <w:sz w:val="32"/>
          <w:szCs w:val="32"/>
        </w:rPr>
        <w:t>名、复员退伍军人1名。本单位长期聘用人员1</w:t>
      </w:r>
      <w:r>
        <w:rPr>
          <w:rFonts w:hint="eastAsia" w:ascii="仿宋_GB2312" w:eastAsia="仿宋_GB2312"/>
          <w:sz w:val="32"/>
          <w:szCs w:val="32"/>
          <w:lang w:val="en-US" w:eastAsia="zh-CN"/>
        </w:rPr>
        <w:t>1</w:t>
      </w:r>
      <w:r>
        <w:rPr>
          <w:rFonts w:hint="eastAsia" w:ascii="仿宋_GB2312" w:eastAsia="仿宋_GB2312"/>
          <w:sz w:val="32"/>
          <w:szCs w:val="32"/>
        </w:rPr>
        <w:t>名。</w:t>
      </w:r>
      <w:r>
        <w:rPr>
          <w:rFonts w:hint="eastAsia" w:ascii="仿宋_GB2312" w:eastAsia="仿宋_GB2312"/>
          <w:sz w:val="32"/>
          <w:szCs w:val="32"/>
          <w:lang w:eastAsia="zh-CN"/>
        </w:rPr>
        <w:t>年末</w:t>
      </w:r>
      <w:r>
        <w:rPr>
          <w:rFonts w:hint="eastAsia" w:ascii="仿宋_GB2312" w:eastAsia="仿宋_GB2312"/>
          <w:sz w:val="32"/>
          <w:szCs w:val="32"/>
        </w:rPr>
        <w:t>事业单位离退休人员35人。</w:t>
      </w:r>
    </w:p>
    <w:p>
      <w:pPr>
        <w:numPr>
          <w:ilvl w:val="0"/>
          <w:numId w:val="1"/>
        </w:numPr>
        <w:spacing w:line="600" w:lineRule="exact"/>
        <w:ind w:firstLine="643" w:firstLineChars="200"/>
        <w:rPr>
          <w:rFonts w:eastAsia="楷体_GB2312"/>
          <w:b/>
          <w:bCs/>
          <w:sz w:val="32"/>
          <w:szCs w:val="32"/>
        </w:rPr>
      </w:pPr>
      <w:r>
        <w:rPr>
          <w:rFonts w:eastAsia="楷体_GB2312"/>
          <w:b/>
          <w:bCs/>
          <w:sz w:val="32"/>
          <w:szCs w:val="32"/>
        </w:rPr>
        <w:t>部门（单位）年度整体支出绩效目标</w:t>
      </w:r>
      <w:r>
        <w:rPr>
          <w:rFonts w:hint="eastAsia" w:eastAsia="楷体_GB2312"/>
          <w:b/>
          <w:bCs/>
          <w:sz w:val="32"/>
          <w:szCs w:val="32"/>
        </w:rPr>
        <w:t>、市</w:t>
      </w:r>
      <w:r>
        <w:rPr>
          <w:rFonts w:eastAsia="楷体_GB2312"/>
          <w:b/>
          <w:bCs/>
          <w:sz w:val="32"/>
          <w:szCs w:val="32"/>
        </w:rPr>
        <w:t>级专项资金绩效目标</w:t>
      </w:r>
    </w:p>
    <w:p>
      <w:pPr>
        <w:adjustRightInd w:val="0"/>
        <w:snapToGrid w:val="0"/>
        <w:spacing w:line="600" w:lineRule="exact"/>
        <w:ind w:firstLine="420" w:firstLineChars="200"/>
        <w:rPr>
          <w:rFonts w:hint="eastAsia" w:ascii="仿宋_GB2312" w:hAnsi="Times New Roman" w:eastAsia="仿宋_GB2312" w:cs="Times New Roman"/>
          <w:sz w:val="32"/>
          <w:szCs w:val="32"/>
          <w:lang w:val="en-US" w:eastAsia="zh-CN"/>
        </w:rPr>
      </w:pPr>
      <w:r>
        <w:rPr>
          <w:rFonts w:hint="eastAsia"/>
          <w:lang w:val="en-US" w:eastAsia="zh-CN"/>
        </w:rPr>
        <w:t xml:space="preserve">  </w:t>
      </w:r>
      <w:r>
        <w:rPr>
          <w:rFonts w:hint="eastAsia" w:ascii="仿宋_GB2312" w:hAnsi="Times New Roman" w:eastAsia="仿宋_GB2312" w:cs="Times New Roman"/>
          <w:sz w:val="32"/>
          <w:szCs w:val="32"/>
          <w:lang w:val="en-US" w:eastAsia="zh-CN"/>
        </w:rPr>
        <w:t>紧扣市委市政府各项中心工作，为我市政治、经济、文化、社会、生态文明全面发展把握正确的舆论导向，依法进行广播电视网络宣传和舆论监督工作；</w:t>
      </w:r>
    </w:p>
    <w:p>
      <w:pPr>
        <w:adjustRightInd w:val="0"/>
        <w:snapToGrid w:val="0"/>
        <w:spacing w:line="60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立足技术升级，稳步推进广播电视公共服务体系建设，确保各乡镇直播卫星终端用户的正常收听收看，服务受众满意度达到90%以上；</w:t>
      </w:r>
    </w:p>
    <w:p>
      <w:pPr>
        <w:adjustRightInd w:val="0"/>
        <w:snapToGrid w:val="0"/>
        <w:spacing w:line="60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负责中心电视、广播、新媒体节目的采编、制作、审核、播控工作，以媒体融合发展为契机，不断加强主流媒体意识形态主阵地建设，紧紧围绕市委、市政府重点工作开展宣传报道，为我市高质量发展提供强有力的舆论支持；</w:t>
      </w:r>
    </w:p>
    <w:p>
      <w:pPr>
        <w:adjustRightInd w:val="0"/>
        <w:snapToGrid w:val="0"/>
        <w:spacing w:line="60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推进融媒体建设和运用。整合市级各媒体平台，完成选题报送、任务分发、内容制作、内容发布等环节的全流域管理，达到互融互通，实现全年自办节目时长不少于250小时的目标，同时确保全年安全播出零事故；</w:t>
      </w:r>
    </w:p>
    <w:p>
      <w:pPr>
        <w:adjustRightInd w:val="0"/>
        <w:snapToGrid w:val="0"/>
        <w:spacing w:line="600" w:lineRule="exact"/>
        <w:ind w:firstLine="640" w:firstLineChars="200"/>
        <w:rPr>
          <w:rFonts w:hint="default" w:eastAsia="宋体"/>
          <w:lang w:val="en-US" w:eastAsia="zh-CN"/>
        </w:rPr>
      </w:pPr>
      <w:r>
        <w:rPr>
          <w:rFonts w:hint="eastAsia" w:ascii="仿宋_GB2312" w:hAnsi="Times New Roman" w:eastAsia="仿宋_GB2312" w:cs="Times New Roman"/>
          <w:sz w:val="32"/>
          <w:szCs w:val="32"/>
          <w:lang w:val="en-US" w:eastAsia="zh-CN"/>
        </w:rPr>
        <w:t>组织承办“鼓文化节”“茶文化节”等全媒体大型宣传活动的策划、拍摄、制作和播出工作，发挥资源优势，不断推进本土化节目制播能力，全年自办节目收视率稳定在30%以上，提升融合宣传成效，积极探索融合改革发展新路子</w:t>
      </w:r>
      <w:r>
        <w:rPr>
          <w:rFonts w:hint="eastAsia" w:ascii="仿宋_GB2312" w:eastAsia="仿宋_GB2312" w:cs="Times New Roman"/>
          <w:sz w:val="32"/>
          <w:szCs w:val="32"/>
          <w:lang w:val="en-US" w:eastAsia="zh-CN"/>
        </w:rPr>
        <w:t>。</w:t>
      </w:r>
    </w:p>
    <w:p>
      <w:pPr>
        <w:spacing w:line="600" w:lineRule="exact"/>
        <w:ind w:firstLine="640" w:firstLineChars="200"/>
        <w:rPr>
          <w:rFonts w:eastAsia="黑体"/>
          <w:sz w:val="32"/>
          <w:szCs w:val="32"/>
        </w:rPr>
      </w:pPr>
      <w:r>
        <w:rPr>
          <w:rFonts w:eastAsia="黑体"/>
          <w:sz w:val="32"/>
          <w:szCs w:val="32"/>
        </w:rPr>
        <w:t>二、一般公共预算支出情况</w:t>
      </w:r>
    </w:p>
    <w:p>
      <w:pPr>
        <w:pStyle w:val="9"/>
        <w:spacing w:line="600" w:lineRule="exact"/>
        <w:ind w:firstLine="643"/>
        <w:rPr>
          <w:rFonts w:hint="eastAsia" w:ascii="Times New Roman" w:hAnsi="Times New Roman" w:cs="宋体"/>
          <w:b/>
          <w:bCs/>
          <w:sz w:val="32"/>
          <w:szCs w:val="32"/>
        </w:rPr>
      </w:pPr>
      <w:r>
        <w:rPr>
          <w:rFonts w:ascii="Times New Roman" w:hAnsi="Times New Roman" w:eastAsia="楷体_GB2312"/>
          <w:b/>
          <w:bCs/>
          <w:sz w:val="32"/>
          <w:szCs w:val="32"/>
        </w:rPr>
        <w:t>（一）基本支出情</w:t>
      </w:r>
      <w:r>
        <w:rPr>
          <w:rFonts w:hint="eastAsia" w:ascii="Times New Roman" w:hAnsi="Times New Roman" w:cs="宋体"/>
          <w:b/>
          <w:bCs/>
          <w:sz w:val="32"/>
          <w:szCs w:val="32"/>
        </w:rPr>
        <w:t>况</w:t>
      </w:r>
    </w:p>
    <w:p>
      <w:pPr>
        <w:pStyle w:val="9"/>
        <w:numPr>
          <w:ilvl w:val="0"/>
          <w:numId w:val="0"/>
        </w:numPr>
        <w:spacing w:line="600" w:lineRule="exact"/>
        <w:ind w:firstLine="640" w:firstLineChars="200"/>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2023年度市级财政资金补助我中心基本支出1376.09万元，其中人员经费支出1112.04万元，运行公用经费71.31万元。</w:t>
      </w:r>
    </w:p>
    <w:p>
      <w:pPr>
        <w:pStyle w:val="9"/>
        <w:spacing w:line="600" w:lineRule="exact"/>
        <w:ind w:firstLine="643"/>
        <w:rPr>
          <w:rFonts w:ascii="Times New Roman" w:hAnsi="Times New Roman" w:eastAsia="楷体_GB2312"/>
          <w:b/>
          <w:bCs/>
          <w:sz w:val="32"/>
          <w:szCs w:val="32"/>
        </w:rPr>
      </w:pPr>
      <w:r>
        <w:rPr>
          <w:rFonts w:ascii="Times New Roman" w:hAnsi="Times New Roman" w:eastAsia="楷体_GB2312"/>
          <w:b/>
          <w:bCs/>
          <w:sz w:val="32"/>
          <w:szCs w:val="32"/>
        </w:rPr>
        <w:t>（二）项目支出情</w:t>
      </w:r>
      <w:r>
        <w:rPr>
          <w:rFonts w:hint="eastAsia" w:ascii="Times New Roman" w:hAnsi="Times New Roman" w:cs="宋体"/>
          <w:b/>
          <w:bCs/>
          <w:sz w:val="32"/>
          <w:szCs w:val="32"/>
        </w:rPr>
        <w:t>况</w:t>
      </w:r>
    </w:p>
    <w:p>
      <w:pPr>
        <w:pStyle w:val="9"/>
        <w:numPr>
          <w:ilvl w:val="0"/>
          <w:numId w:val="0"/>
        </w:numPr>
        <w:spacing w:line="600" w:lineRule="exact"/>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2023年度市级专项资金分配安排我中心退休党支部工作经费2万元以及多功能会议厅运行与维护经费9万元。分别用于我中心20名退休党员的理论学习、组织生活开展以及保障多功能会议厅的日常办公用电、卫生防疫、设备检修更换等方面。</w:t>
      </w:r>
    </w:p>
    <w:p>
      <w:pPr>
        <w:pStyle w:val="9"/>
        <w:numPr>
          <w:ilvl w:val="0"/>
          <w:numId w:val="2"/>
        </w:numPr>
        <w:spacing w:line="600" w:lineRule="exact"/>
        <w:rPr>
          <w:rFonts w:hint="eastAsia" w:ascii="Times New Roman" w:hAnsi="Times New Roman" w:eastAsia="楷体_GB2312"/>
          <w:b/>
          <w:bCs/>
          <w:sz w:val="32"/>
          <w:szCs w:val="32"/>
          <w:lang w:val="en-US" w:eastAsia="zh-CN"/>
        </w:rPr>
      </w:pPr>
      <w:r>
        <w:rPr>
          <w:rFonts w:ascii="Times New Roman" w:hAnsi="Times New Roman" w:eastAsia="楷体_GB2312"/>
          <w:b/>
          <w:bCs/>
          <w:sz w:val="32"/>
          <w:szCs w:val="32"/>
        </w:rPr>
        <w:t>政府性基金预算支出情况</w:t>
      </w:r>
      <w:r>
        <w:rPr>
          <w:rFonts w:hint="eastAsia" w:ascii="Times New Roman" w:hAnsi="Times New Roman" w:eastAsia="楷体_GB2312"/>
          <w:b/>
          <w:bCs/>
          <w:sz w:val="32"/>
          <w:szCs w:val="32"/>
          <w:lang w:val="en-US" w:eastAsia="zh-CN"/>
        </w:rPr>
        <w:t>(无)</w:t>
      </w:r>
    </w:p>
    <w:p>
      <w:pPr>
        <w:pStyle w:val="9"/>
        <w:numPr>
          <w:ilvl w:val="0"/>
          <w:numId w:val="2"/>
        </w:numPr>
        <w:spacing w:line="600" w:lineRule="exact"/>
        <w:rPr>
          <w:rFonts w:hint="eastAsia" w:ascii="Times New Roman" w:hAnsi="Times New Roman" w:eastAsia="楷体_GB2312"/>
          <w:b/>
          <w:bCs/>
          <w:sz w:val="32"/>
          <w:szCs w:val="32"/>
          <w:lang w:val="en-US" w:eastAsia="zh-CN"/>
        </w:rPr>
      </w:pPr>
      <w:r>
        <w:rPr>
          <w:rFonts w:ascii="Times New Roman" w:hAnsi="Times New Roman" w:eastAsia="楷体_GB2312"/>
          <w:b/>
          <w:bCs/>
          <w:sz w:val="32"/>
          <w:szCs w:val="32"/>
        </w:rPr>
        <w:t>国有资本经营预算支出情况</w:t>
      </w:r>
      <w:r>
        <w:rPr>
          <w:rFonts w:hint="eastAsia" w:ascii="Times New Roman" w:hAnsi="Times New Roman" w:eastAsia="楷体_GB2312"/>
          <w:b/>
          <w:bCs/>
          <w:sz w:val="32"/>
          <w:szCs w:val="32"/>
          <w:lang w:val="en-US" w:eastAsia="zh-CN"/>
        </w:rPr>
        <w:t>(无)</w:t>
      </w:r>
    </w:p>
    <w:p>
      <w:pPr>
        <w:pStyle w:val="9"/>
        <w:numPr>
          <w:ilvl w:val="0"/>
          <w:numId w:val="2"/>
        </w:numPr>
        <w:spacing w:line="600" w:lineRule="exact"/>
        <w:rPr>
          <w:rFonts w:eastAsia="黑体"/>
          <w:sz w:val="32"/>
          <w:szCs w:val="32"/>
        </w:rPr>
      </w:pPr>
      <w:r>
        <w:rPr>
          <w:rFonts w:ascii="Times New Roman" w:hAnsi="Times New Roman" w:eastAsia="楷体_GB2312"/>
          <w:b/>
          <w:bCs/>
          <w:sz w:val="32"/>
          <w:szCs w:val="32"/>
        </w:rPr>
        <w:t>社会保险基金预算支出情况</w:t>
      </w:r>
      <w:r>
        <w:rPr>
          <w:rFonts w:hint="eastAsia" w:ascii="Times New Roman" w:hAnsi="Times New Roman" w:eastAsia="楷体_GB2312"/>
          <w:b/>
          <w:bCs/>
          <w:sz w:val="32"/>
          <w:szCs w:val="32"/>
          <w:lang w:val="en-US" w:eastAsia="zh-CN"/>
        </w:rPr>
        <w:t>(无)</w:t>
      </w:r>
    </w:p>
    <w:p>
      <w:pPr>
        <w:pStyle w:val="9"/>
        <w:numPr>
          <w:ilvl w:val="0"/>
          <w:numId w:val="2"/>
        </w:numPr>
        <w:spacing w:line="600" w:lineRule="exact"/>
        <w:rPr>
          <w:rFonts w:eastAsia="黑体"/>
          <w:sz w:val="32"/>
          <w:szCs w:val="32"/>
        </w:rPr>
      </w:pPr>
      <w:r>
        <w:rPr>
          <w:rFonts w:eastAsia="黑体"/>
          <w:sz w:val="32"/>
          <w:szCs w:val="32"/>
        </w:rPr>
        <w:t>部门整体支出绩效情况</w:t>
      </w:r>
    </w:p>
    <w:p>
      <w:pPr>
        <w:spacing w:line="600" w:lineRule="exact"/>
        <w:ind w:firstLine="640" w:firstLineChars="200"/>
        <w:rPr>
          <w:rFonts w:eastAsia="仿宋_GB2312"/>
          <w:color w:val="000000"/>
          <w:sz w:val="32"/>
          <w:szCs w:val="32"/>
        </w:rPr>
      </w:pPr>
      <w:r>
        <w:rPr>
          <w:rFonts w:eastAsia="仿宋_GB2312"/>
          <w:color w:val="000000"/>
          <w:sz w:val="32"/>
          <w:szCs w:val="32"/>
        </w:rPr>
        <w:t>总结归纳</w:t>
      </w:r>
      <w:r>
        <w:rPr>
          <w:rFonts w:hint="eastAsia" w:ascii="仿宋_GB2312" w:hAnsi="仿宋_GB2312" w:eastAsia="仿宋_GB2312" w:cs="仿宋_GB2312"/>
          <w:color w:val="000000"/>
          <w:sz w:val="32"/>
          <w:szCs w:val="32"/>
        </w:rPr>
        <w:t>本部门整体支出的绩效目标完成情况，实现产出和取得效益的情况。围绕部</w:t>
      </w:r>
      <w:r>
        <w:rPr>
          <w:rFonts w:eastAsia="仿宋_GB2312"/>
          <w:color w:val="000000"/>
          <w:sz w:val="32"/>
          <w:szCs w:val="32"/>
        </w:rPr>
        <w:t>门职责、行业发展规划，以预算资金管理为主线，总结部门资产管理和开展业务情况，从运行成本、管理效率、履职效能、社会效应、可持续发展能力和服务对象满意度等方面，衡量部门整体及核心业务实施效果</w:t>
      </w:r>
      <w:r>
        <w:rPr>
          <w:rFonts w:hint="eastAsia" w:cs="宋体"/>
          <w:color w:val="000000"/>
          <w:sz w:val="32"/>
          <w:szCs w:val="32"/>
        </w:rPr>
        <w:t>。</w:t>
      </w:r>
    </w:p>
    <w:p>
      <w:pPr>
        <w:numPr>
          <w:ilvl w:val="0"/>
          <w:numId w:val="3"/>
        </w:numPr>
        <w:adjustRightInd w:val="0"/>
        <w:snapToGrid w:val="0"/>
        <w:spacing w:line="600" w:lineRule="exact"/>
        <w:ind w:left="0" w:leftChars="0" w:firstLine="640" w:firstLineChars="200"/>
        <w:rPr>
          <w:rFonts w:hint="eastAsia" w:ascii="黑体" w:hAnsi="黑体" w:eastAsia="黑体"/>
          <w:sz w:val="32"/>
          <w:szCs w:val="32"/>
        </w:rPr>
      </w:pPr>
      <w:r>
        <w:rPr>
          <w:rFonts w:hint="eastAsia" w:ascii="黑体" w:hAnsi="黑体" w:eastAsia="黑体"/>
          <w:sz w:val="32"/>
          <w:szCs w:val="32"/>
        </w:rPr>
        <w:t>综合评价情况及评价结论</w:t>
      </w:r>
    </w:p>
    <w:p>
      <w:pPr>
        <w:numPr>
          <w:ilvl w:val="0"/>
          <w:numId w:val="0"/>
        </w:numPr>
        <w:adjustRightInd w:val="0"/>
        <w:snapToGrid w:val="0"/>
        <w:spacing w:line="600" w:lineRule="exact"/>
        <w:ind w:firstLine="640" w:firstLineChars="200"/>
        <w:rPr>
          <w:rFonts w:ascii="仿宋_GB2312"/>
          <w:sz w:val="32"/>
          <w:szCs w:val="32"/>
        </w:rPr>
      </w:pPr>
      <w:r>
        <w:rPr>
          <w:rFonts w:hint="eastAsia" w:ascii="Times New Roman" w:hAnsi="Times New Roman" w:eastAsia="仿宋_GB2312" w:cs="仿宋_GB2312"/>
          <w:kern w:val="2"/>
          <w:sz w:val="32"/>
          <w:szCs w:val="32"/>
          <w:lang w:val="en-US" w:eastAsia="zh-CN" w:bidi="ar-SA"/>
        </w:rPr>
        <w:t>202</w:t>
      </w:r>
      <w:r>
        <w:rPr>
          <w:rFonts w:hint="eastAsia" w:eastAsia="仿宋_GB2312" w:cs="仿宋_GB2312"/>
          <w:kern w:val="2"/>
          <w:sz w:val="32"/>
          <w:szCs w:val="32"/>
          <w:lang w:val="en-US" w:eastAsia="zh-CN" w:bidi="ar-SA"/>
        </w:rPr>
        <w:t>3</w:t>
      </w:r>
      <w:r>
        <w:rPr>
          <w:rFonts w:hint="eastAsia" w:ascii="Times New Roman" w:hAnsi="Times New Roman" w:eastAsia="仿宋_GB2312" w:cs="仿宋_GB2312"/>
          <w:kern w:val="2"/>
          <w:sz w:val="32"/>
          <w:szCs w:val="32"/>
          <w:lang w:val="en-US" w:eastAsia="zh-CN" w:bidi="ar-SA"/>
        </w:rPr>
        <w:t>年吉首市融媒体中心积极推进媒体融合发展，广播电台、电视台、手机客户端、微信抖音公众号等媒体矩阵综合发力的格局初步形成。资讯推送、新闻报道亮点纷呈，宣传工作开展更上层楼，事业建设平稳有序，农村网络建设、中心基站维护有条不紊，广播电视综合覆盖率稳步提升，农村公共文化信息服务水平逐步提升。常年保持安全播出全年零事故，得到了上级部门的充分肯定，在使用财政专项资金方面严谨合规，成效显著。</w:t>
      </w:r>
    </w:p>
    <w:p>
      <w:pPr>
        <w:numPr>
          <w:ilvl w:val="0"/>
          <w:numId w:val="3"/>
        </w:numPr>
        <w:adjustRightInd w:val="0"/>
        <w:snapToGrid w:val="0"/>
        <w:spacing w:line="600" w:lineRule="exact"/>
        <w:ind w:left="0" w:leftChars="0" w:firstLine="640" w:firstLineChars="200"/>
        <w:rPr>
          <w:rFonts w:eastAsia="黑体"/>
          <w:sz w:val="32"/>
          <w:szCs w:val="32"/>
        </w:rPr>
      </w:pPr>
      <w:r>
        <w:rPr>
          <w:rFonts w:eastAsia="黑体"/>
          <w:sz w:val="32"/>
          <w:szCs w:val="32"/>
        </w:rPr>
        <w:t>主要经验做法、存在的问题及原因分析</w:t>
      </w:r>
    </w:p>
    <w:p>
      <w:pPr>
        <w:numPr>
          <w:ilvl w:val="0"/>
          <w:numId w:val="0"/>
        </w:numPr>
        <w:adjustRightInd w:val="0"/>
        <w:snapToGrid w:val="0"/>
        <w:spacing w:line="600" w:lineRule="exact"/>
        <w:ind w:firstLine="640" w:firstLineChars="200"/>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我单位内部项目管理人员大多数是各部门的专业技术人员兼职，受知识面比较单一的影响，缺乏经营、管理等相关方面的知识和经验，存在一定的重资金、轻资产的情况。项目建设内部审计人员将大部分精力投入到检查财务数据是否合理合法上，项目审计重点主要集中在账证、账表、账账是否相符，忽略了公共服务效率和效果的控制，使得项目审计仅从凭证和账面找问题，难以从实际工作的深层次上发现问题。</w:t>
      </w:r>
    </w:p>
    <w:p>
      <w:pPr>
        <w:numPr>
          <w:ilvl w:val="0"/>
          <w:numId w:val="0"/>
        </w:numPr>
        <w:adjustRightInd w:val="0"/>
        <w:snapToGrid w:val="0"/>
        <w:spacing w:line="600" w:lineRule="exact"/>
        <w:ind w:firstLine="640" w:firstLineChars="200"/>
        <w:rPr>
          <w:rFonts w:eastAsia="黑体"/>
          <w:sz w:val="32"/>
          <w:szCs w:val="32"/>
        </w:rPr>
      </w:pPr>
      <w:r>
        <w:rPr>
          <w:rFonts w:hint="eastAsia" w:ascii="Times New Roman" w:hAnsi="Times New Roman" w:eastAsia="仿宋_GB2312" w:cs="仿宋_GB2312"/>
          <w:kern w:val="2"/>
          <w:sz w:val="32"/>
          <w:szCs w:val="32"/>
          <w:lang w:val="en-US" w:eastAsia="zh-CN" w:bidi="ar-SA"/>
        </w:rPr>
        <w:t xml:space="preserve">下一步我们的重点是通过进一步建立和完善项目建设的组织管理制度，加强对薄弱环节和重要岗位的监管，细化责任，做到制度管人，责任到人，形成一个相对完整的，在方式、技术、手段等方面有章可循的项目建设体系。同时加强从业人员的培训，夯实财务基础工作加强单位的内部控制建设，首先加强业务学习，不断更新、补充、拓展管理人员的知识和技能，不断提高政治素质、业务能力和职业道德水平，以满足项目建设的实际需要。   </w:t>
      </w:r>
    </w:p>
    <w:p>
      <w:pPr>
        <w:numPr>
          <w:ilvl w:val="0"/>
          <w:numId w:val="3"/>
        </w:numPr>
        <w:adjustRightInd w:val="0"/>
        <w:snapToGrid w:val="0"/>
        <w:spacing w:line="600" w:lineRule="exact"/>
        <w:ind w:left="0" w:leftChars="0" w:firstLine="640" w:firstLineChars="200"/>
        <w:rPr>
          <w:rFonts w:eastAsia="黑体"/>
          <w:sz w:val="32"/>
          <w:szCs w:val="32"/>
        </w:rPr>
      </w:pPr>
      <w:r>
        <w:rPr>
          <w:rFonts w:eastAsia="黑体"/>
          <w:sz w:val="32"/>
          <w:szCs w:val="32"/>
        </w:rPr>
        <w:t>有关建议</w:t>
      </w:r>
    </w:p>
    <w:p>
      <w:pPr>
        <w:numPr>
          <w:ilvl w:val="0"/>
          <w:numId w:val="0"/>
        </w:numPr>
        <w:adjustRightInd w:val="0"/>
        <w:snapToGrid w:val="0"/>
        <w:spacing w:line="600" w:lineRule="exact"/>
        <w:ind w:firstLine="640" w:firstLineChars="200"/>
        <w:rPr>
          <w:rFonts w:eastAsia="黑体"/>
          <w:sz w:val="32"/>
          <w:szCs w:val="32"/>
        </w:rPr>
      </w:pPr>
      <w:r>
        <w:rPr>
          <w:rFonts w:hint="eastAsia" w:ascii="Times New Roman" w:hAnsi="Times New Roman" w:eastAsia="仿宋_GB2312" w:cs="仿宋_GB2312"/>
          <w:kern w:val="2"/>
          <w:sz w:val="32"/>
          <w:szCs w:val="32"/>
          <w:lang w:val="en-US" w:eastAsia="zh-CN" w:bidi="ar-SA"/>
        </w:rPr>
        <w:t>由于吉首</w:t>
      </w:r>
      <w:r>
        <w:rPr>
          <w:rFonts w:hint="eastAsia" w:eastAsia="仿宋_GB2312" w:cs="仿宋_GB2312"/>
          <w:kern w:val="2"/>
          <w:sz w:val="32"/>
          <w:szCs w:val="32"/>
          <w:lang w:val="en-US" w:eastAsia="zh-CN" w:bidi="ar-SA"/>
        </w:rPr>
        <w:t>地区</w:t>
      </w:r>
      <w:r>
        <w:rPr>
          <w:rFonts w:hint="eastAsia" w:ascii="Times New Roman" w:hAnsi="Times New Roman" w:eastAsia="仿宋_GB2312" w:cs="仿宋_GB2312"/>
          <w:kern w:val="2"/>
          <w:sz w:val="32"/>
          <w:szCs w:val="32"/>
          <w:lang w:val="en-US" w:eastAsia="zh-CN" w:bidi="ar-SA"/>
        </w:rPr>
        <w:t>大多数村组居住分散，地形复杂，</w:t>
      </w:r>
      <w:r>
        <w:rPr>
          <w:rFonts w:hint="eastAsia" w:eastAsia="仿宋_GB2312" w:cs="仿宋_GB2312"/>
          <w:kern w:val="2"/>
          <w:sz w:val="32"/>
          <w:szCs w:val="32"/>
          <w:lang w:val="en-US" w:eastAsia="zh-CN" w:bidi="ar-SA"/>
        </w:rPr>
        <w:t>建设周期较长</w:t>
      </w:r>
      <w:r>
        <w:rPr>
          <w:rFonts w:hint="eastAsia" w:ascii="Times New Roman" w:hAnsi="Times New Roman" w:eastAsia="仿宋_GB2312" w:cs="仿宋_GB2312"/>
          <w:kern w:val="2"/>
          <w:sz w:val="32"/>
          <w:szCs w:val="32"/>
          <w:lang w:val="en-US" w:eastAsia="zh-CN" w:bidi="ar-SA"/>
        </w:rPr>
        <w:t>，</w:t>
      </w:r>
      <w:r>
        <w:rPr>
          <w:rFonts w:hint="eastAsia" w:eastAsia="仿宋_GB2312" w:cs="仿宋_GB2312"/>
          <w:kern w:val="2"/>
          <w:sz w:val="32"/>
          <w:szCs w:val="32"/>
          <w:lang w:val="en-US" w:eastAsia="zh-CN" w:bidi="ar-SA"/>
        </w:rPr>
        <w:t>维护成本较大</w:t>
      </w:r>
      <w:r>
        <w:rPr>
          <w:rFonts w:hint="eastAsia" w:ascii="Times New Roman" w:hAnsi="Times New Roman" w:eastAsia="仿宋_GB2312" w:cs="仿宋_GB2312"/>
          <w:kern w:val="2"/>
          <w:sz w:val="32"/>
          <w:szCs w:val="32"/>
          <w:lang w:val="en-US" w:eastAsia="zh-CN" w:bidi="ar-SA"/>
        </w:rPr>
        <w:t>。</w:t>
      </w:r>
      <w:r>
        <w:rPr>
          <w:rFonts w:hint="eastAsia" w:eastAsia="仿宋_GB2312" w:cs="仿宋_GB2312"/>
          <w:kern w:val="2"/>
          <w:sz w:val="32"/>
          <w:szCs w:val="32"/>
          <w:lang w:val="en-US" w:eastAsia="zh-CN" w:bidi="ar-SA"/>
        </w:rPr>
        <w:t>县级融媒体中心因经营创收能力不足、资金缺口巨大，造成</w:t>
      </w:r>
      <w:r>
        <w:rPr>
          <w:rFonts w:hint="eastAsia" w:ascii="Times New Roman" w:hAnsi="Times New Roman" w:eastAsia="仿宋_GB2312" w:cs="仿宋_GB2312"/>
          <w:kern w:val="2"/>
          <w:sz w:val="32"/>
          <w:szCs w:val="32"/>
          <w:lang w:val="en-US" w:eastAsia="zh-CN" w:bidi="ar-SA"/>
        </w:rPr>
        <w:t>广播电视事业建设实际与与</w:t>
      </w:r>
      <w:r>
        <w:rPr>
          <w:rFonts w:hint="eastAsia" w:eastAsia="仿宋_GB2312" w:cs="仿宋_GB2312"/>
          <w:kern w:val="2"/>
          <w:sz w:val="32"/>
          <w:szCs w:val="32"/>
          <w:lang w:val="en-US" w:eastAsia="zh-CN" w:bidi="ar-SA"/>
        </w:rPr>
        <w:t>人民</w:t>
      </w:r>
      <w:r>
        <w:rPr>
          <w:rFonts w:hint="eastAsia" w:ascii="Times New Roman" w:hAnsi="Times New Roman" w:eastAsia="仿宋_GB2312" w:cs="仿宋_GB2312"/>
          <w:kern w:val="2"/>
          <w:sz w:val="32"/>
          <w:szCs w:val="32"/>
          <w:lang w:val="en-US" w:eastAsia="zh-CN" w:bidi="ar-SA"/>
        </w:rPr>
        <w:t>群众日益增长的精神文化需求仍有很大的差距，建议各级财政部门适当增加对社会公共文化信息服务平台建设的财政投入，进一步提高对传统主流媒体和公共文化事业建设方面的支出比重。</w:t>
      </w:r>
    </w:p>
    <w:p>
      <w:pPr>
        <w:spacing w:line="600" w:lineRule="exact"/>
        <w:ind w:firstLine="640" w:firstLineChars="200"/>
        <w:rPr>
          <w:rFonts w:eastAsia="黑体"/>
          <w:sz w:val="32"/>
          <w:szCs w:val="32"/>
        </w:rPr>
      </w:pPr>
      <w:r>
        <w:rPr>
          <w:rFonts w:hint="eastAsia" w:eastAsia="黑体"/>
          <w:sz w:val="32"/>
          <w:szCs w:val="32"/>
        </w:rPr>
        <w:t>十</w:t>
      </w:r>
      <w:r>
        <w:rPr>
          <w:rFonts w:eastAsia="黑体"/>
          <w:sz w:val="32"/>
          <w:szCs w:val="32"/>
        </w:rPr>
        <w:t>、绩效自评结果拟应用和公开情况</w:t>
      </w:r>
    </w:p>
    <w:p>
      <w:pPr>
        <w:spacing w:line="600" w:lineRule="exact"/>
        <w:ind w:firstLine="640" w:firstLineChars="200"/>
      </w:pPr>
      <w:r>
        <w:rPr>
          <w:rFonts w:hint="eastAsia" w:eastAsia="仿宋_GB2312" w:cs="仿宋_GB2312"/>
          <w:sz w:val="32"/>
          <w:szCs w:val="32"/>
          <w:lang w:eastAsia="zh-CN"/>
        </w:rPr>
        <w:t>拟</w:t>
      </w:r>
      <w:r>
        <w:rPr>
          <w:rFonts w:hint="eastAsia" w:eastAsia="仿宋_GB2312" w:cs="仿宋_GB2312"/>
          <w:sz w:val="32"/>
          <w:szCs w:val="32"/>
        </w:rPr>
        <w:t>于</w:t>
      </w:r>
      <w:r>
        <w:rPr>
          <w:rFonts w:eastAsia="仿宋_GB2312" w:cs="仿宋_GB2312"/>
          <w:sz w:val="32"/>
          <w:szCs w:val="32"/>
        </w:rPr>
        <w:t>7</w:t>
      </w:r>
      <w:r>
        <w:rPr>
          <w:rFonts w:hint="eastAsia" w:eastAsia="仿宋_GB2312" w:cs="仿宋_GB2312"/>
          <w:sz w:val="32"/>
          <w:szCs w:val="32"/>
        </w:rPr>
        <w:t>月</w:t>
      </w:r>
      <w:r>
        <w:rPr>
          <w:rFonts w:eastAsia="仿宋_GB2312" w:cs="仿宋_GB2312"/>
          <w:sz w:val="32"/>
          <w:szCs w:val="32"/>
        </w:rPr>
        <w:t>5</w:t>
      </w:r>
      <w:r>
        <w:rPr>
          <w:rFonts w:hint="eastAsia" w:eastAsia="仿宋_GB2312" w:cs="仿宋_GB2312"/>
          <w:sz w:val="32"/>
          <w:szCs w:val="32"/>
        </w:rPr>
        <w:t>日前函报市财政局在市级预决算公开平台上全文公开部门整体支出绩效自评报告，接受社会公众监督。</w:t>
      </w:r>
      <w:r>
        <w:rPr>
          <w:rFonts w:hint="eastAsia" w:eastAsia="仿宋_GB2312" w:cs="仿宋_GB2312"/>
          <w:sz w:val="32"/>
          <w:szCs w:val="32"/>
          <w:lang w:eastAsia="zh-CN"/>
        </w:rPr>
        <w:t>并将</w:t>
      </w:r>
      <w:r>
        <w:rPr>
          <w:rFonts w:hint="eastAsia" w:eastAsia="仿宋_GB2312" w:cs="仿宋_GB2312"/>
          <w:sz w:val="32"/>
          <w:szCs w:val="32"/>
        </w:rPr>
        <w:t>评价结果反馈</w:t>
      </w:r>
      <w:r>
        <w:rPr>
          <w:rFonts w:hint="eastAsia" w:eastAsia="仿宋_GB2312" w:cs="仿宋_GB2312"/>
          <w:sz w:val="32"/>
          <w:szCs w:val="32"/>
          <w:lang w:eastAsia="zh-CN"/>
        </w:rPr>
        <w:t>给具体实施的</w:t>
      </w:r>
      <w:r>
        <w:rPr>
          <w:rFonts w:hint="eastAsia" w:eastAsia="仿宋_GB2312" w:cs="仿宋_GB2312"/>
          <w:sz w:val="32"/>
          <w:szCs w:val="32"/>
        </w:rPr>
        <w:t>相关</w:t>
      </w:r>
      <w:r>
        <w:rPr>
          <w:rFonts w:hint="eastAsia" w:eastAsia="仿宋_GB2312" w:cs="仿宋_GB2312"/>
          <w:sz w:val="32"/>
          <w:szCs w:val="32"/>
          <w:lang w:eastAsia="zh-CN"/>
        </w:rPr>
        <w:t>科室</w:t>
      </w:r>
      <w:r>
        <w:rPr>
          <w:rFonts w:hint="eastAsia" w:eastAsia="仿宋_GB2312" w:cs="仿宋_GB2312"/>
          <w:sz w:val="32"/>
          <w:szCs w:val="32"/>
        </w:rPr>
        <w:t>，督促其就绩效自评中发现的问题制定切实可行的整改措施并落实到位。</w:t>
      </w:r>
    </w:p>
    <w:p>
      <w:pPr>
        <w:adjustRightInd w:val="0"/>
        <w:snapToGrid w:val="0"/>
        <w:spacing w:line="600" w:lineRule="exact"/>
        <w:ind w:firstLine="640" w:firstLineChars="200"/>
        <w:rPr>
          <w:rFonts w:eastAsia="黑体"/>
          <w:sz w:val="32"/>
          <w:szCs w:val="32"/>
        </w:rPr>
      </w:pPr>
      <w:r>
        <w:rPr>
          <w:rFonts w:hint="eastAsia" w:eastAsia="黑体"/>
          <w:sz w:val="32"/>
          <w:szCs w:val="32"/>
        </w:rPr>
        <w:t>十一</w:t>
      </w:r>
      <w:r>
        <w:rPr>
          <w:rFonts w:eastAsia="黑体"/>
          <w:sz w:val="32"/>
          <w:szCs w:val="32"/>
        </w:rPr>
        <w:t>、其他需要说明的问题</w:t>
      </w:r>
    </w:p>
    <w:p>
      <w:pPr>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无</w:t>
      </w:r>
    </w:p>
    <w:p>
      <w:pPr>
        <w:spacing w:line="600" w:lineRule="exact"/>
        <w:ind w:firstLine="640" w:firstLineChars="200"/>
        <w:rPr>
          <w:rFonts w:hint="default"/>
          <w:lang w:val="en-US" w:eastAsia="zh-CN"/>
        </w:rPr>
      </w:pPr>
      <w:r>
        <w:rPr>
          <w:rFonts w:hint="eastAsia" w:eastAsia="仿宋_GB2312"/>
          <w:sz w:val="32"/>
          <w:szCs w:val="32"/>
          <w:lang w:val="en-US" w:eastAsia="zh-CN"/>
        </w:rPr>
        <w:t xml:space="preserve">                                  吉首市融媒体中心</w:t>
      </w:r>
    </w:p>
    <w:p>
      <w:pPr>
        <w:spacing w:line="600" w:lineRule="exact"/>
        <w:ind w:firstLine="640" w:firstLineChars="200"/>
      </w:pPr>
      <w:r>
        <w:rPr>
          <w:rFonts w:hint="eastAsia" w:eastAsia="仿宋_GB2312"/>
          <w:sz w:val="32"/>
          <w:szCs w:val="32"/>
          <w:lang w:val="en-US" w:eastAsia="zh-CN"/>
        </w:rPr>
        <w:t xml:space="preserve">                                   2024年5月30日</w:t>
      </w:r>
    </w:p>
    <w:p/>
    <w:sectPr>
      <w:headerReference r:id="rId4" w:type="first"/>
      <w:headerReference r:id="rId3" w:type="default"/>
      <w:footerReference r:id="rId5" w:type="default"/>
      <w:footerReference r:id="rId6" w:type="even"/>
      <w:pgSz w:w="11905" w:h="16837"/>
      <w:pgMar w:top="1474" w:right="1531" w:bottom="1531" w:left="1531" w:header="720" w:footer="1077" w:gutter="0"/>
      <w:pgNumType w:fmt="numberInDash"/>
      <w:cols w:space="720" w:num="1"/>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NewRoman">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38417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34035" cy="384175"/>
                      </a:xfrm>
                      <a:prstGeom prst="rect">
                        <a:avLst/>
                      </a:prstGeom>
                      <a:noFill/>
                      <a:ln>
                        <a:noFill/>
                      </a:ln>
                    </wps:spPr>
                    <wps:txbx>
                      <w:txbxContent>
                        <w:p>
                          <w:pPr>
                            <w:pStyle w:val="3"/>
                            <w:rPr>
                              <w:rStyle w:val="8"/>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- 17 -</w:t>
                          </w:r>
                          <w:r>
                            <w:rPr>
                              <w:rFonts w:ascii="宋体" w:hAnsi="宋体"/>
                              <w:sz w:val="28"/>
                              <w:szCs w:val="28"/>
                            </w:rPr>
                            <w:fldChar w:fldCharType="end"/>
                          </w:r>
                        </w:p>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30.25pt;width:42.05pt;mso-position-horizontal:outside;mso-position-horizontal-relative:margin;mso-wrap-style:none;z-index:251659264;mso-width-relative:page;mso-height-relative:page;" filled="f" stroked="f" coordsize="21600,21600" o:gfxdata="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eQ6dEAAAADAQAADwAAAAAAAAABACAAAAAiAAAAZHJz&#10;L2Rvd25yZXYueG1sUEsBAhQAFAAAAAgAh07iQL3oI0ILAgAAAgQAAA4AAAAAAAAAAQAgAAAAIAEA&#10;AGRycy9lMm9Eb2MueG1sUEsFBgAAAAAGAAYAWQEAAJ0FAAAAAA==&#10;">
              <v:fill on="f" focussize="0,0"/>
              <v:stroke on="f"/>
              <v:imagedata o:title=""/>
              <o:lock v:ext="edit" aspectratio="f"/>
              <v:textbox inset="0mm,0mm,0mm,0mm" style="mso-fit-shape-to-text:t;">
                <w:txbxContent>
                  <w:p>
                    <w:pPr>
                      <w:pStyle w:val="3"/>
                      <w:rPr>
                        <w:rStyle w:val="8"/>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- 17 -</w:t>
                    </w:r>
                    <w:r>
                      <w:rPr>
                        <w:rFonts w:ascii="宋体" w:hAnsi="宋体"/>
                        <w:sz w:val="28"/>
                        <w:szCs w:val="28"/>
                      </w:rP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0293C6"/>
    <w:multiLevelType w:val="singleLevel"/>
    <w:tmpl w:val="C80293C6"/>
    <w:lvl w:ilvl="0" w:tentative="0">
      <w:start w:val="3"/>
      <w:numFmt w:val="chineseCounting"/>
      <w:suff w:val="nothing"/>
      <w:lvlText w:val="%1、"/>
      <w:lvlJc w:val="left"/>
      <w:rPr>
        <w:rFonts w:hint="eastAsia"/>
      </w:rPr>
    </w:lvl>
  </w:abstractNum>
  <w:abstractNum w:abstractNumId="1">
    <w:nsid w:val="CAA9E656"/>
    <w:multiLevelType w:val="singleLevel"/>
    <w:tmpl w:val="CAA9E656"/>
    <w:lvl w:ilvl="0" w:tentative="0">
      <w:start w:val="2"/>
      <w:numFmt w:val="chineseCounting"/>
      <w:suff w:val="nothing"/>
      <w:lvlText w:val="（%1）"/>
      <w:lvlJc w:val="left"/>
      <w:rPr>
        <w:rFonts w:hint="eastAsia"/>
      </w:rPr>
    </w:lvl>
  </w:abstractNum>
  <w:abstractNum w:abstractNumId="2">
    <w:nsid w:val="734087D3"/>
    <w:multiLevelType w:val="singleLevel"/>
    <w:tmpl w:val="734087D3"/>
    <w:lvl w:ilvl="0" w:tentative="0">
      <w:start w:val="3"/>
      <w:numFmt w:val="chineseCounting"/>
      <w:lvlText w:val="(%1)"/>
      <w:lvlJc w:val="left"/>
      <w:pPr>
        <w:tabs>
          <w:tab w:val="left" w:pos="312"/>
        </w:tabs>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zNDljY2RiMTRkOTFhMzQ5OWI4Mjk1NThiYjA1YmQifQ=="/>
    <w:docVar w:name="KSO_WPS_MARK_KEY" w:val="9f0a63bd-f31f-41a8-9f14-519778f6910b"/>
  </w:docVars>
  <w:rsids>
    <w:rsidRoot w:val="7D5D3B71"/>
    <w:rsid w:val="0BF078EC"/>
    <w:rsid w:val="168D503C"/>
    <w:rsid w:val="1B08013C"/>
    <w:rsid w:val="306316C3"/>
    <w:rsid w:val="3B620A1E"/>
    <w:rsid w:val="3D211F38"/>
    <w:rsid w:val="460346E2"/>
    <w:rsid w:val="48681098"/>
    <w:rsid w:val="4C54228C"/>
    <w:rsid w:val="4C7E73A7"/>
    <w:rsid w:val="53985B6C"/>
    <w:rsid w:val="56B55774"/>
    <w:rsid w:val="6BBD1081"/>
    <w:rsid w:val="6EA22AE8"/>
    <w:rsid w:val="772A140E"/>
    <w:rsid w:val="783C6AEB"/>
    <w:rsid w:val="7D5D3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qFormat/>
    <w:uiPriority w:val="0"/>
  </w:style>
  <w:style w:type="paragraph" w:customStyle="1" w:styleId="9">
    <w:name w:val="列出段落1"/>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5429</Words>
  <Characters>5665</Characters>
  <Lines>0</Lines>
  <Paragraphs>0</Paragraphs>
  <TotalTime>13</TotalTime>
  <ScaleCrop>false</ScaleCrop>
  <LinksUpToDate>false</LinksUpToDate>
  <CharactersWithSpaces>6032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2023-07-28T09:34:00Z</dcterms:created>
  <dc:creator>Administrator</dc:creator>
  <cp:lastModifiedBy>in</cp:lastModifiedBy>
  <dcterms:modified xsi:type="dcterms:W3CDTF">2024-06-12T08:15:23Z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1595F734DE5645B688256CE77E442356</vt:lpwstr>
  </property>
</Properties>
</file>