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吉首市第七初级中学</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年度部门整体支出绩效自评报告</w:t>
      </w:r>
    </w:p>
    <w:p>
      <w:pPr>
        <w:jc w:val="center"/>
        <w:rPr>
          <w:rFonts w:hint="eastAsia" w:ascii="方正小标宋简体" w:hAnsi="方正小标宋简体" w:eastAsia="方正小标宋简体" w:cs="方正小标宋简体"/>
          <w:sz w:val="44"/>
          <w:szCs w:val="44"/>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hint="eastAsia" w:eastAsia="黑体"/>
          <w:sz w:val="44"/>
          <w:szCs w:val="44"/>
        </w:rPr>
      </w:pPr>
    </w:p>
    <w:p>
      <w:pPr>
        <w:jc w:val="center"/>
        <w:rPr>
          <w:rFonts w:eastAsia="黑体"/>
          <w:sz w:val="44"/>
          <w:szCs w:val="44"/>
        </w:rPr>
      </w:pPr>
    </w:p>
    <w:p>
      <w:pPr>
        <w:spacing w:line="600" w:lineRule="exact"/>
        <w:ind w:firstLine="880" w:firstLineChars="200"/>
        <w:jc w:val="center"/>
        <w:rPr>
          <w:rFonts w:eastAsia="黑体"/>
          <w:sz w:val="44"/>
          <w:szCs w:val="44"/>
        </w:rPr>
      </w:pPr>
    </w:p>
    <w:p>
      <w:pPr>
        <w:spacing w:line="600" w:lineRule="exact"/>
        <w:ind w:left="1260" w:leftChars="600"/>
        <w:rPr>
          <w:rFonts w:eastAsia="黑体"/>
          <w:sz w:val="36"/>
          <w:szCs w:val="36"/>
        </w:rPr>
      </w:pPr>
      <w:r>
        <w:rPr>
          <w:rFonts w:hint="eastAsia" w:eastAsia="黑体"/>
          <w:sz w:val="36"/>
          <w:szCs w:val="36"/>
        </w:rPr>
        <w:t>部门（</w:t>
      </w:r>
      <w:r>
        <w:rPr>
          <w:rFonts w:eastAsia="黑体"/>
          <w:sz w:val="36"/>
          <w:szCs w:val="36"/>
        </w:rPr>
        <w:t>单位</w:t>
      </w:r>
      <w:r>
        <w:rPr>
          <w:rFonts w:hint="eastAsia" w:eastAsia="黑体"/>
          <w:sz w:val="36"/>
          <w:szCs w:val="36"/>
        </w:rPr>
        <w:t>）</w:t>
      </w:r>
      <w:r>
        <w:rPr>
          <w:rFonts w:eastAsia="黑体"/>
          <w:sz w:val="36"/>
          <w:szCs w:val="36"/>
        </w:rPr>
        <w:t>名称（盖章）：吉首市第七初级中学</w:t>
      </w:r>
    </w:p>
    <w:p>
      <w:pPr>
        <w:spacing w:line="600" w:lineRule="exact"/>
        <w:ind w:firstLine="2160" w:firstLineChars="600"/>
        <w:rPr>
          <w:rFonts w:eastAsia="黑体"/>
          <w:sz w:val="36"/>
          <w:szCs w:val="36"/>
        </w:rPr>
      </w:pPr>
      <w:r>
        <w:rPr>
          <w:rFonts w:hint="eastAsia" w:eastAsia="黑体"/>
          <w:sz w:val="36"/>
          <w:szCs w:val="36"/>
        </w:rPr>
        <w:t>预算编码：101067</w:t>
      </w:r>
    </w:p>
    <w:p>
      <w:pPr>
        <w:spacing w:line="600" w:lineRule="exact"/>
        <w:jc w:val="center"/>
        <w:rPr>
          <w:rFonts w:eastAsia="黑体"/>
          <w:sz w:val="36"/>
          <w:szCs w:val="36"/>
        </w:rPr>
      </w:pPr>
    </w:p>
    <w:p>
      <w:pPr>
        <w:spacing w:line="600" w:lineRule="exact"/>
        <w:ind w:firstLine="2099" w:firstLineChars="656"/>
        <w:jc w:val="left"/>
        <w:rPr>
          <w:rFonts w:eastAsia="仿宋_GB2312"/>
          <w:sz w:val="32"/>
          <w:szCs w:val="32"/>
        </w:rPr>
      </w:pPr>
      <w:r>
        <w:rPr>
          <w:rFonts w:hint="eastAsia" w:eastAsia="仿宋_GB2312"/>
          <w:sz w:val="32"/>
          <w:szCs w:val="32"/>
        </w:rPr>
        <w:t>评价方式：吉首市第七初级中学绩效自评</w:t>
      </w:r>
    </w:p>
    <w:p>
      <w:pPr>
        <w:spacing w:line="600" w:lineRule="exact"/>
        <w:ind w:firstLine="2099" w:firstLineChars="656"/>
        <w:jc w:val="left"/>
        <w:rPr>
          <w:rFonts w:eastAsia="仿宋_GB2312" w:cs="Arial"/>
          <w:sz w:val="28"/>
          <w:szCs w:val="28"/>
        </w:rPr>
      </w:pPr>
      <w:r>
        <w:rPr>
          <w:rFonts w:hint="eastAsia" w:eastAsia="仿宋_GB2312"/>
          <w:sz w:val="32"/>
          <w:szCs w:val="32"/>
        </w:rPr>
        <w:t>评价机构：吉首市第七初级中学评价组</w:t>
      </w:r>
    </w:p>
    <w:p>
      <w:pPr>
        <w:ind w:firstLine="420" w:firstLineChars="150"/>
        <w:jc w:val="left"/>
        <w:rPr>
          <w:rFonts w:eastAsia="仿宋_GB2312" w:cs="Arial"/>
          <w:sz w:val="28"/>
          <w:szCs w:val="28"/>
        </w:rPr>
      </w:pPr>
    </w:p>
    <w:p>
      <w:pPr>
        <w:jc w:val="center"/>
        <w:rPr>
          <w:rFonts w:eastAsia="仿宋_GB2312" w:cs="Arial"/>
          <w:sz w:val="28"/>
          <w:szCs w:val="28"/>
        </w:rPr>
      </w:pPr>
    </w:p>
    <w:p>
      <w:pPr>
        <w:jc w:val="center"/>
        <w:rPr>
          <w:rFonts w:eastAsia="仿宋_GB2312" w:cs="Arial"/>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报告时间：</w:t>
      </w:r>
      <w:r>
        <w:rPr>
          <w:rFonts w:hint="eastAsia" w:ascii="仿宋_GB2312" w:hAnsi="仿宋_GB2312" w:eastAsia="仿宋_GB2312" w:cs="仿宋_GB2312"/>
          <w:sz w:val="28"/>
          <w:szCs w:val="28"/>
          <w:u w:val="single"/>
        </w:rPr>
        <w:t xml:space="preserve">  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p>
    <w:p>
      <w:pPr>
        <w:spacing w:line="540" w:lineRule="exact"/>
        <w:jc w:val="left"/>
        <w:rPr>
          <w:rFonts w:eastAsia="黑体" w:cs="Arial"/>
          <w:sz w:val="32"/>
          <w:szCs w:val="32"/>
          <w:shd w:val="clear" w:color="auto" w:fill="FFFFFF"/>
        </w:rPr>
      </w:pP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0"/>
        <w:gridCol w:w="212"/>
        <w:gridCol w:w="46"/>
        <w:gridCol w:w="1332"/>
        <w:gridCol w:w="425"/>
        <w:gridCol w:w="678"/>
        <w:gridCol w:w="456"/>
        <w:gridCol w:w="1076"/>
        <w:gridCol w:w="1029"/>
        <w:gridCol w:w="226"/>
        <w:gridCol w:w="194"/>
        <w:gridCol w:w="261"/>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2"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0"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联系人</w:t>
            </w:r>
          </w:p>
        </w:tc>
        <w:tc>
          <w:tcPr>
            <w:tcW w:w="4013" w:type="dxa"/>
            <w:gridSpan w:val="6"/>
            <w:vAlign w:val="center"/>
          </w:tcPr>
          <w:p>
            <w:pPr>
              <w:autoSpaceDN w:val="0"/>
              <w:spacing w:line="320" w:lineRule="exact"/>
              <w:ind w:firstLine="960" w:firstLineChars="400"/>
              <w:textAlignment w:val="center"/>
              <w:rPr>
                <w:rFonts w:hint="eastAsia" w:eastAsia="仿宋_GB2312" w:cs="仿宋_GB2312"/>
                <w:sz w:val="24"/>
                <w:lang w:eastAsia="zh-CN"/>
              </w:rPr>
            </w:pPr>
            <w:r>
              <w:rPr>
                <w:rFonts w:hint="eastAsia" w:eastAsia="仿宋_GB2312" w:cs="仿宋_GB2312"/>
                <w:sz w:val="24"/>
                <w:lang w:eastAsia="zh-CN"/>
              </w:rPr>
              <w:t>王建</w:t>
            </w:r>
          </w:p>
        </w:tc>
        <w:tc>
          <w:tcPr>
            <w:tcW w:w="102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联系电话</w:t>
            </w:r>
          </w:p>
        </w:tc>
        <w:tc>
          <w:tcPr>
            <w:tcW w:w="3106" w:type="dxa"/>
            <w:gridSpan w:val="8"/>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15274393987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3"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人员编制</w:t>
            </w:r>
          </w:p>
        </w:tc>
        <w:tc>
          <w:tcPr>
            <w:tcW w:w="4013" w:type="dxa"/>
            <w:gridSpan w:val="6"/>
            <w:vAlign w:val="center"/>
          </w:tcPr>
          <w:p>
            <w:pPr>
              <w:autoSpaceDN w:val="0"/>
              <w:spacing w:line="320" w:lineRule="exact"/>
              <w:ind w:firstLine="960" w:firstLineChars="400"/>
              <w:textAlignment w:val="center"/>
              <w:rPr>
                <w:rFonts w:hint="default" w:eastAsia="仿宋_GB2312" w:cs="仿宋_GB2312"/>
                <w:sz w:val="24"/>
                <w:lang w:val="en-US" w:eastAsia="zh-CN"/>
              </w:rPr>
            </w:pPr>
            <w:r>
              <w:rPr>
                <w:rFonts w:hint="eastAsia" w:eastAsia="仿宋_GB2312" w:cs="仿宋_GB2312"/>
                <w:sz w:val="24"/>
                <w:lang w:val="en-US" w:eastAsia="zh-CN"/>
              </w:rPr>
              <w:t>160</w:t>
            </w:r>
          </w:p>
        </w:tc>
        <w:tc>
          <w:tcPr>
            <w:tcW w:w="102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实有人数</w:t>
            </w:r>
          </w:p>
        </w:tc>
        <w:tc>
          <w:tcPr>
            <w:tcW w:w="3106" w:type="dxa"/>
            <w:gridSpan w:val="8"/>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77"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职能职责概述</w:t>
            </w:r>
          </w:p>
        </w:tc>
        <w:tc>
          <w:tcPr>
            <w:tcW w:w="8148" w:type="dxa"/>
            <w:gridSpan w:val="15"/>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1、研究拟定全校教育发展战略法，贯彻执行党和国家的教育方针、政策、法规。</w:t>
            </w:r>
          </w:p>
          <w:p>
            <w:pPr>
              <w:autoSpaceDN w:val="0"/>
              <w:spacing w:line="320" w:lineRule="exact"/>
              <w:jc w:val="left"/>
              <w:textAlignment w:val="center"/>
              <w:rPr>
                <w:rFonts w:eastAsia="仿宋_GB2312" w:cs="仿宋_GB2312"/>
                <w:sz w:val="24"/>
              </w:rPr>
            </w:pPr>
            <w:r>
              <w:rPr>
                <w:rFonts w:hint="eastAsia" w:eastAsia="仿宋_GB2312" w:cs="仿宋_GB2312"/>
                <w:sz w:val="24"/>
              </w:rPr>
              <w:t>2、研究拟定学校发展规划和年度计划，组织实施教育体制和办学体制改革。</w:t>
            </w:r>
          </w:p>
          <w:p>
            <w:pPr>
              <w:autoSpaceDN w:val="0"/>
              <w:spacing w:line="320" w:lineRule="exact"/>
              <w:jc w:val="left"/>
              <w:textAlignment w:val="center"/>
              <w:rPr>
                <w:rFonts w:eastAsia="仿宋_GB2312" w:cs="仿宋_GB2312"/>
                <w:sz w:val="24"/>
              </w:rPr>
            </w:pPr>
            <w:r>
              <w:rPr>
                <w:rFonts w:hint="eastAsia" w:eastAsia="仿宋_GB2312" w:cs="仿宋_GB2312"/>
                <w:sz w:val="24"/>
              </w:rPr>
              <w:t>3、管理和指导学校基础教育工作；确保普及九年义务教育工作成果。</w:t>
            </w:r>
          </w:p>
          <w:p>
            <w:pPr>
              <w:autoSpaceDN w:val="0"/>
              <w:spacing w:line="320" w:lineRule="exact"/>
              <w:jc w:val="left"/>
              <w:textAlignment w:val="center"/>
              <w:rPr>
                <w:rFonts w:eastAsia="仿宋_GB2312" w:cs="仿宋_GB2312"/>
                <w:sz w:val="24"/>
              </w:rPr>
            </w:pPr>
            <w:r>
              <w:rPr>
                <w:rFonts w:hint="eastAsia" w:eastAsia="仿宋_GB2312" w:cs="仿宋_GB2312"/>
                <w:sz w:val="24"/>
              </w:rPr>
              <w:t>4、管理学校教育经费；执行财务管理制度。</w:t>
            </w:r>
          </w:p>
          <w:p>
            <w:pPr>
              <w:autoSpaceDN w:val="0"/>
              <w:spacing w:line="320" w:lineRule="exact"/>
              <w:jc w:val="left"/>
              <w:textAlignment w:val="center"/>
              <w:rPr>
                <w:rFonts w:eastAsia="仿宋_GB2312" w:cs="仿宋_GB2312"/>
                <w:sz w:val="24"/>
              </w:rPr>
            </w:pPr>
            <w:r>
              <w:rPr>
                <w:rFonts w:hint="eastAsia" w:eastAsia="仿宋_GB2312" w:cs="仿宋_GB2312"/>
                <w:sz w:val="24"/>
              </w:rPr>
              <w:t>5、负责和指导学校教职工的思想政治工作，规划学校品德教育、体育卫生教育、艺术教育和国防教育工作；负责做好社会治安综合治理及安全保卫工作。</w:t>
            </w:r>
          </w:p>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23"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年度主要</w:t>
            </w:r>
          </w:p>
          <w:p>
            <w:pPr>
              <w:autoSpaceDN w:val="0"/>
              <w:spacing w:line="320" w:lineRule="exact"/>
              <w:jc w:val="center"/>
              <w:textAlignment w:val="center"/>
              <w:rPr>
                <w:rFonts w:eastAsia="仿宋_GB2312" w:cs="仿宋_GB2312"/>
                <w:sz w:val="24"/>
              </w:rPr>
            </w:pPr>
            <w:r>
              <w:rPr>
                <w:rFonts w:hint="eastAsia" w:eastAsia="仿宋_GB2312" w:cs="仿宋_GB2312"/>
                <w:sz w:val="24"/>
              </w:rPr>
              <w:t>工作内容</w:t>
            </w:r>
          </w:p>
        </w:tc>
        <w:tc>
          <w:tcPr>
            <w:tcW w:w="8148" w:type="dxa"/>
            <w:gridSpan w:val="15"/>
            <w:vAlign w:val="center"/>
          </w:tcPr>
          <w:p>
            <w:pPr>
              <w:pStyle w:val="8"/>
              <w:numPr>
                <w:ilvl w:val="0"/>
                <w:numId w:val="1"/>
              </w:numPr>
              <w:autoSpaceDN w:val="0"/>
              <w:spacing w:line="320" w:lineRule="exact"/>
              <w:ind w:firstLineChars="0"/>
              <w:jc w:val="left"/>
              <w:textAlignment w:val="center"/>
              <w:rPr>
                <w:rFonts w:eastAsia="仿宋_GB2312" w:cs="仿宋_GB2312"/>
                <w:sz w:val="24"/>
              </w:rPr>
            </w:pPr>
            <w:r>
              <w:rPr>
                <w:rFonts w:hint="eastAsia" w:eastAsia="仿宋_GB2312" w:cs="仿宋_GB2312"/>
                <w:sz w:val="24"/>
              </w:rPr>
              <w:t>贯彻党的教育方针及上级教育行政部门的指示和规定，制定全校教学工作计划，建立教学常规和正常的教学秩序，保证教学计划的执行。</w:t>
            </w:r>
          </w:p>
          <w:p>
            <w:pPr>
              <w:pStyle w:val="8"/>
              <w:numPr>
                <w:ilvl w:val="0"/>
                <w:numId w:val="1"/>
              </w:numPr>
              <w:autoSpaceDN w:val="0"/>
              <w:spacing w:line="320" w:lineRule="exact"/>
              <w:ind w:firstLineChars="0"/>
              <w:jc w:val="left"/>
              <w:textAlignment w:val="center"/>
              <w:rPr>
                <w:rFonts w:eastAsia="仿宋_GB2312" w:cs="仿宋_GB2312"/>
                <w:sz w:val="24"/>
              </w:rPr>
            </w:pPr>
            <w:r>
              <w:rPr>
                <w:rFonts w:hint="eastAsia" w:eastAsia="仿宋_GB2312" w:cs="仿宋_GB2312"/>
                <w:sz w:val="24"/>
              </w:rPr>
              <w:t>依据学校工作需要和师资队伍状况，提出新学期教师安排初步意见，经分管校长同意，报校长办公会批准后执行。</w:t>
            </w:r>
          </w:p>
          <w:p>
            <w:pPr>
              <w:pStyle w:val="8"/>
              <w:numPr>
                <w:ilvl w:val="0"/>
                <w:numId w:val="1"/>
              </w:numPr>
              <w:autoSpaceDN w:val="0"/>
              <w:spacing w:line="320" w:lineRule="exact"/>
              <w:ind w:firstLineChars="0"/>
              <w:jc w:val="left"/>
              <w:textAlignment w:val="center"/>
              <w:rPr>
                <w:rFonts w:eastAsia="仿宋_GB2312" w:cs="仿宋_GB2312"/>
                <w:sz w:val="24"/>
              </w:rPr>
            </w:pPr>
            <w:r>
              <w:rPr>
                <w:rFonts w:hint="eastAsia" w:eastAsia="仿宋_GB2312" w:cs="仿宋_GB2312"/>
                <w:sz w:val="24"/>
              </w:rPr>
              <w:t>在各分管校长领导下，做好每学年度的招生、编班和毕业班工作及各科室各项工作，</w:t>
            </w:r>
          </w:p>
          <w:p>
            <w:pPr>
              <w:autoSpaceDN w:val="0"/>
              <w:spacing w:line="320" w:lineRule="exact"/>
              <w:jc w:val="left"/>
              <w:textAlignment w:val="center"/>
              <w:rPr>
                <w:rFonts w:eastAsia="仿宋_GB2312" w:cs="仿宋_GB2312"/>
                <w:sz w:val="24"/>
              </w:rPr>
            </w:pPr>
            <w:r>
              <w:rPr>
                <w:rFonts w:hint="eastAsia" w:eastAsia="仿宋_GB2312" w:cs="仿宋_GB2312"/>
                <w:sz w:val="24"/>
              </w:rPr>
              <w:t>4、领导教研组工作，帮助教研组制定具体的教研计划，领导各教研组的教学研究活动，总结交流教学经验组织教师学习和贯彻课程标准，制定教育教学计划，研究教育教学内容，提高教学质量。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37"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年度部门（单位）总体运行情况及取得的成绩</w:t>
            </w:r>
          </w:p>
        </w:tc>
        <w:tc>
          <w:tcPr>
            <w:tcW w:w="8148" w:type="dxa"/>
            <w:gridSpan w:val="15"/>
            <w:vAlign w:val="center"/>
          </w:tcPr>
          <w:p>
            <w:pPr>
              <w:autoSpaceDN w:val="0"/>
              <w:spacing w:line="320" w:lineRule="exact"/>
              <w:ind w:firstLine="480" w:firstLineChars="200"/>
              <w:jc w:val="left"/>
              <w:textAlignment w:val="center"/>
              <w:rPr>
                <w:rFonts w:eastAsia="仿宋_GB2312" w:cs="仿宋_GB2312"/>
                <w:sz w:val="24"/>
              </w:rPr>
            </w:pPr>
            <w:r>
              <w:rPr>
                <w:rFonts w:hint="eastAsia" w:ascii="仿宋" w:hAnsi="仿宋" w:eastAsia="仿宋" w:cs="仿宋"/>
                <w:sz w:val="24"/>
              </w:rPr>
              <w:t>学校始终以提升教育教学质量和促进教育内涵发展为中心。我们实现了观念突破和管理突破，并落实了安全保障、质量提升、“双减”三大重点。2023年6月，我们迎来了第一届初三毕业生，毕业学业考试成绩在全市公办学校中排名第二。这一成就得到了群众的认可，选择吉首市第七初级中学的学生和家长也越来越多。2023年9月，学校已有52个教学班，学生人数达到2554人，专职教师186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2"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7"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1" w:hRule="atLeast"/>
          <w:jc w:val="center"/>
        </w:trPr>
        <w:tc>
          <w:tcPr>
            <w:tcW w:w="1698" w:type="dxa"/>
            <w:gridSpan w:val="3"/>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机构名称</w:t>
            </w:r>
          </w:p>
        </w:tc>
        <w:tc>
          <w:tcPr>
            <w:tcW w:w="1332"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收入合计</w:t>
            </w:r>
          </w:p>
        </w:tc>
        <w:tc>
          <w:tcPr>
            <w:tcW w:w="6770" w:type="dxa"/>
            <w:gridSpan w:val="1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 w:hRule="atLeast"/>
          <w:jc w:val="center"/>
        </w:trPr>
        <w:tc>
          <w:tcPr>
            <w:tcW w:w="1698" w:type="dxa"/>
            <w:gridSpan w:val="3"/>
            <w:vMerge w:val="continue"/>
            <w:vAlign w:val="center"/>
          </w:tcPr>
          <w:p>
            <w:pPr>
              <w:autoSpaceDN w:val="0"/>
              <w:spacing w:line="320" w:lineRule="exact"/>
              <w:jc w:val="center"/>
              <w:textAlignment w:val="center"/>
              <w:rPr>
                <w:rFonts w:eastAsia="仿宋_GB2312" w:cs="仿宋_GB2312"/>
                <w:sz w:val="24"/>
              </w:rPr>
            </w:pPr>
          </w:p>
        </w:tc>
        <w:tc>
          <w:tcPr>
            <w:tcW w:w="1332"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103"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上年结转</w:t>
            </w:r>
          </w:p>
        </w:tc>
        <w:tc>
          <w:tcPr>
            <w:tcW w:w="153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公共财</w:t>
            </w:r>
          </w:p>
          <w:p>
            <w:pPr>
              <w:autoSpaceDN w:val="0"/>
              <w:spacing w:line="320" w:lineRule="exact"/>
              <w:jc w:val="center"/>
              <w:textAlignment w:val="center"/>
              <w:rPr>
                <w:rFonts w:eastAsia="仿宋_GB2312" w:cs="仿宋_GB2312"/>
                <w:sz w:val="24"/>
              </w:rPr>
            </w:pPr>
            <w:r>
              <w:rPr>
                <w:rFonts w:hint="eastAsia" w:eastAsia="仿宋_GB2312" w:cs="仿宋_GB2312"/>
                <w:sz w:val="24"/>
              </w:rPr>
              <w:t>政拨款</w:t>
            </w:r>
          </w:p>
        </w:tc>
        <w:tc>
          <w:tcPr>
            <w:tcW w:w="1255"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政府基金拨款</w:t>
            </w:r>
          </w:p>
        </w:tc>
        <w:tc>
          <w:tcPr>
            <w:tcW w:w="180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纳入专户管理的非税收入拨款</w:t>
            </w:r>
          </w:p>
        </w:tc>
        <w:tc>
          <w:tcPr>
            <w:tcW w:w="1080" w:type="dxa"/>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p>
            <w:pPr>
              <w:autoSpaceDN w:val="0"/>
              <w:spacing w:line="320" w:lineRule="exact"/>
              <w:jc w:val="center"/>
              <w:textAlignment w:val="center"/>
              <w:rPr>
                <w:rFonts w:eastAsia="仿宋_GB2312" w:cs="仿宋_GB2312"/>
                <w:sz w:val="24"/>
              </w:rPr>
            </w:pPr>
            <w:r>
              <w:rPr>
                <w:rFonts w:hint="eastAsia" w:eastAsia="仿宋_GB2312" w:cs="仿宋_GB2312"/>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1" w:hRule="atLeast"/>
          <w:jc w:val="center"/>
        </w:trPr>
        <w:tc>
          <w:tcPr>
            <w:tcW w:w="1698" w:type="dxa"/>
            <w:gridSpan w:val="3"/>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局机关及二级机构汇总</w:t>
            </w:r>
          </w:p>
        </w:tc>
        <w:tc>
          <w:tcPr>
            <w:tcW w:w="1332" w:type="dxa"/>
            <w:tcBorders>
              <w:right w:val="single" w:color="auto" w:sz="4" w:space="0"/>
            </w:tcBorders>
            <w:vAlign w:val="center"/>
          </w:tcPr>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2705.83</w:t>
            </w:r>
          </w:p>
        </w:tc>
        <w:tc>
          <w:tcPr>
            <w:tcW w:w="1103"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532" w:type="dxa"/>
            <w:gridSpan w:val="2"/>
            <w:vAlign w:val="center"/>
          </w:tcPr>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2494.52</w:t>
            </w:r>
          </w:p>
        </w:tc>
        <w:tc>
          <w:tcPr>
            <w:tcW w:w="1255" w:type="dxa"/>
            <w:gridSpan w:val="2"/>
            <w:vAlign w:val="center"/>
          </w:tcPr>
          <w:p>
            <w:pPr>
              <w:autoSpaceDN w:val="0"/>
              <w:spacing w:line="320" w:lineRule="exact"/>
              <w:jc w:val="left"/>
              <w:textAlignment w:val="center"/>
              <w:rPr>
                <w:rFonts w:eastAsia="仿宋_GB2312" w:cs="仿宋_GB2312"/>
                <w:sz w:val="24"/>
              </w:rPr>
            </w:pPr>
          </w:p>
        </w:tc>
        <w:tc>
          <w:tcPr>
            <w:tcW w:w="1800" w:type="dxa"/>
            <w:gridSpan w:val="4"/>
            <w:vAlign w:val="center"/>
          </w:tcPr>
          <w:p>
            <w:pPr>
              <w:autoSpaceDN w:val="0"/>
              <w:spacing w:line="320" w:lineRule="exact"/>
              <w:jc w:val="center"/>
              <w:textAlignment w:val="center"/>
              <w:rPr>
                <w:rFonts w:eastAsia="仿宋_GB2312" w:cs="仿宋_GB2312"/>
                <w:sz w:val="24"/>
              </w:rPr>
            </w:pPr>
          </w:p>
        </w:tc>
        <w:tc>
          <w:tcPr>
            <w:tcW w:w="1080" w:type="dxa"/>
            <w:gridSpan w:val="3"/>
            <w:vAlign w:val="center"/>
          </w:tcPr>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211.31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3" w:hRule="atLeast"/>
          <w:jc w:val="center"/>
        </w:trPr>
        <w:tc>
          <w:tcPr>
            <w:tcW w:w="1698" w:type="dxa"/>
            <w:gridSpan w:val="3"/>
            <w:vAlign w:val="center"/>
          </w:tcPr>
          <w:p>
            <w:pPr>
              <w:spacing w:line="320" w:lineRule="exact"/>
              <w:rPr>
                <w:rFonts w:eastAsia="仿宋_GB2312" w:cs="仿宋_GB2312"/>
                <w:sz w:val="24"/>
              </w:rPr>
            </w:pPr>
            <w:r>
              <w:rPr>
                <w:rFonts w:hint="eastAsia" w:eastAsia="仿宋_GB2312" w:cs="仿宋_GB2312"/>
                <w:sz w:val="24"/>
              </w:rPr>
              <w:t>1、局机关</w:t>
            </w:r>
          </w:p>
        </w:tc>
        <w:tc>
          <w:tcPr>
            <w:tcW w:w="1332" w:type="dxa"/>
            <w:tcBorders>
              <w:right w:val="single" w:color="auto" w:sz="4" w:space="0"/>
            </w:tcBorders>
            <w:vAlign w:val="center"/>
          </w:tcPr>
          <w:p>
            <w:pPr>
              <w:autoSpaceDN w:val="0"/>
              <w:spacing w:line="320" w:lineRule="exact"/>
              <w:jc w:val="left"/>
              <w:textAlignment w:val="center"/>
              <w:rPr>
                <w:rFonts w:eastAsia="仿宋_GB2312" w:cs="仿宋_GB2312"/>
                <w:sz w:val="24"/>
              </w:rPr>
            </w:pPr>
          </w:p>
        </w:tc>
        <w:tc>
          <w:tcPr>
            <w:tcW w:w="1103"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532" w:type="dxa"/>
            <w:gridSpan w:val="2"/>
            <w:vAlign w:val="center"/>
          </w:tcPr>
          <w:p>
            <w:pPr>
              <w:autoSpaceDN w:val="0"/>
              <w:spacing w:line="320" w:lineRule="exact"/>
              <w:jc w:val="left"/>
              <w:textAlignment w:val="center"/>
              <w:rPr>
                <w:rFonts w:eastAsia="仿宋_GB2312" w:cs="仿宋_GB2312"/>
                <w:sz w:val="24"/>
              </w:rPr>
            </w:pPr>
          </w:p>
        </w:tc>
        <w:tc>
          <w:tcPr>
            <w:tcW w:w="1255" w:type="dxa"/>
            <w:gridSpan w:val="2"/>
            <w:vAlign w:val="center"/>
          </w:tcPr>
          <w:p>
            <w:pPr>
              <w:autoSpaceDN w:val="0"/>
              <w:spacing w:line="320" w:lineRule="exact"/>
              <w:jc w:val="left"/>
              <w:textAlignment w:val="center"/>
              <w:rPr>
                <w:rFonts w:eastAsia="仿宋_GB2312" w:cs="仿宋_GB2312"/>
                <w:sz w:val="24"/>
              </w:rPr>
            </w:pPr>
          </w:p>
        </w:tc>
        <w:tc>
          <w:tcPr>
            <w:tcW w:w="1800" w:type="dxa"/>
            <w:gridSpan w:val="4"/>
            <w:vAlign w:val="center"/>
          </w:tcPr>
          <w:p>
            <w:pPr>
              <w:autoSpaceDN w:val="0"/>
              <w:spacing w:line="320" w:lineRule="exact"/>
              <w:jc w:val="center"/>
              <w:textAlignment w:val="center"/>
              <w:rPr>
                <w:rFonts w:eastAsia="仿宋_GB2312" w:cs="仿宋_GB2312"/>
                <w:sz w:val="24"/>
              </w:rPr>
            </w:pPr>
          </w:p>
        </w:tc>
        <w:tc>
          <w:tcPr>
            <w:tcW w:w="1080" w:type="dxa"/>
            <w:gridSpan w:val="3"/>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3" w:hRule="atLeast"/>
          <w:jc w:val="center"/>
        </w:trPr>
        <w:tc>
          <w:tcPr>
            <w:tcW w:w="1698" w:type="dxa"/>
            <w:gridSpan w:val="3"/>
            <w:vAlign w:val="center"/>
          </w:tcPr>
          <w:p>
            <w:pPr>
              <w:spacing w:line="320" w:lineRule="exact"/>
              <w:rPr>
                <w:rFonts w:eastAsia="仿宋_GB2312" w:cs="仿宋_GB2312"/>
                <w:sz w:val="24"/>
              </w:rPr>
            </w:pPr>
            <w:r>
              <w:rPr>
                <w:rFonts w:hint="eastAsia" w:eastAsia="仿宋_GB2312" w:cs="仿宋_GB2312"/>
                <w:sz w:val="24"/>
              </w:rPr>
              <w:t>2、二级机构1</w:t>
            </w:r>
          </w:p>
        </w:tc>
        <w:tc>
          <w:tcPr>
            <w:tcW w:w="1332"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lang w:val="en-US" w:eastAsia="zh-CN"/>
              </w:rPr>
              <w:t>2705.83</w:t>
            </w:r>
          </w:p>
        </w:tc>
        <w:tc>
          <w:tcPr>
            <w:tcW w:w="1103"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532" w:type="dxa"/>
            <w:gridSpan w:val="2"/>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lang w:val="en-US" w:eastAsia="zh-CN"/>
              </w:rPr>
              <w:t>2494.52</w:t>
            </w:r>
          </w:p>
        </w:tc>
        <w:tc>
          <w:tcPr>
            <w:tcW w:w="1255" w:type="dxa"/>
            <w:gridSpan w:val="2"/>
            <w:vAlign w:val="center"/>
          </w:tcPr>
          <w:p>
            <w:pPr>
              <w:autoSpaceDN w:val="0"/>
              <w:spacing w:line="320" w:lineRule="exact"/>
              <w:jc w:val="left"/>
              <w:textAlignment w:val="center"/>
              <w:rPr>
                <w:rFonts w:eastAsia="仿宋_GB2312" w:cs="仿宋_GB2312"/>
                <w:sz w:val="24"/>
              </w:rPr>
            </w:pPr>
          </w:p>
        </w:tc>
        <w:tc>
          <w:tcPr>
            <w:tcW w:w="1800" w:type="dxa"/>
            <w:gridSpan w:val="4"/>
            <w:vAlign w:val="center"/>
          </w:tcPr>
          <w:p>
            <w:pPr>
              <w:autoSpaceDN w:val="0"/>
              <w:spacing w:line="320" w:lineRule="exact"/>
              <w:jc w:val="center"/>
              <w:textAlignment w:val="center"/>
              <w:rPr>
                <w:rFonts w:eastAsia="仿宋_GB2312" w:cs="仿宋_GB2312"/>
                <w:sz w:val="24"/>
              </w:rPr>
            </w:pPr>
          </w:p>
        </w:tc>
        <w:tc>
          <w:tcPr>
            <w:tcW w:w="1080" w:type="dxa"/>
            <w:gridSpan w:val="3"/>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lang w:val="en-US" w:eastAsia="zh-CN"/>
              </w:rPr>
              <w:t>211.31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9" w:hRule="atLeast"/>
          <w:jc w:val="center"/>
        </w:trPr>
        <w:tc>
          <w:tcPr>
            <w:tcW w:w="1698" w:type="dxa"/>
            <w:gridSpan w:val="3"/>
            <w:vAlign w:val="center"/>
          </w:tcPr>
          <w:p>
            <w:pPr>
              <w:spacing w:line="320" w:lineRule="exact"/>
              <w:rPr>
                <w:rFonts w:eastAsia="仿宋_GB2312" w:cs="仿宋_GB2312"/>
                <w:sz w:val="24"/>
              </w:rPr>
            </w:pPr>
            <w:r>
              <w:rPr>
                <w:rFonts w:hint="eastAsia" w:eastAsia="仿宋_GB2312" w:cs="仿宋_GB2312"/>
                <w:sz w:val="24"/>
              </w:rPr>
              <w:t>3、二级机构2</w:t>
            </w:r>
          </w:p>
        </w:tc>
        <w:tc>
          <w:tcPr>
            <w:tcW w:w="1332" w:type="dxa"/>
            <w:tcBorders>
              <w:right w:val="single" w:color="auto" w:sz="4" w:space="0"/>
            </w:tcBorders>
            <w:vAlign w:val="center"/>
          </w:tcPr>
          <w:p>
            <w:pPr>
              <w:autoSpaceDN w:val="0"/>
              <w:spacing w:line="320" w:lineRule="exact"/>
              <w:jc w:val="left"/>
              <w:textAlignment w:val="center"/>
              <w:rPr>
                <w:rFonts w:eastAsia="仿宋_GB2312" w:cs="仿宋_GB2312"/>
                <w:sz w:val="24"/>
              </w:rPr>
            </w:pPr>
          </w:p>
        </w:tc>
        <w:tc>
          <w:tcPr>
            <w:tcW w:w="1103" w:type="dxa"/>
            <w:gridSpan w:val="2"/>
            <w:tcBorders>
              <w:left w:val="single" w:color="auto" w:sz="4" w:space="0"/>
            </w:tcBorders>
            <w:vAlign w:val="center"/>
          </w:tcPr>
          <w:p>
            <w:pPr>
              <w:autoSpaceDN w:val="0"/>
              <w:spacing w:line="320" w:lineRule="exact"/>
              <w:jc w:val="left"/>
              <w:textAlignment w:val="center"/>
              <w:rPr>
                <w:rFonts w:eastAsia="仿宋_GB2312" w:cs="仿宋_GB2312"/>
                <w:sz w:val="24"/>
              </w:rPr>
            </w:pPr>
          </w:p>
        </w:tc>
        <w:tc>
          <w:tcPr>
            <w:tcW w:w="1532" w:type="dxa"/>
            <w:gridSpan w:val="2"/>
            <w:vAlign w:val="center"/>
          </w:tcPr>
          <w:p>
            <w:pPr>
              <w:autoSpaceDN w:val="0"/>
              <w:spacing w:line="320" w:lineRule="exact"/>
              <w:jc w:val="left"/>
              <w:textAlignment w:val="center"/>
              <w:rPr>
                <w:rFonts w:eastAsia="仿宋_GB2312" w:cs="仿宋_GB2312"/>
                <w:sz w:val="24"/>
              </w:rPr>
            </w:pPr>
          </w:p>
        </w:tc>
        <w:tc>
          <w:tcPr>
            <w:tcW w:w="1255" w:type="dxa"/>
            <w:gridSpan w:val="2"/>
            <w:vAlign w:val="center"/>
          </w:tcPr>
          <w:p>
            <w:pPr>
              <w:autoSpaceDN w:val="0"/>
              <w:spacing w:line="320" w:lineRule="exact"/>
              <w:jc w:val="left"/>
              <w:textAlignment w:val="center"/>
              <w:rPr>
                <w:rFonts w:eastAsia="仿宋_GB2312" w:cs="仿宋_GB2312"/>
                <w:sz w:val="24"/>
              </w:rPr>
            </w:pPr>
          </w:p>
        </w:tc>
        <w:tc>
          <w:tcPr>
            <w:tcW w:w="1800" w:type="dxa"/>
            <w:gridSpan w:val="4"/>
            <w:vAlign w:val="center"/>
          </w:tcPr>
          <w:p>
            <w:pPr>
              <w:autoSpaceDN w:val="0"/>
              <w:spacing w:line="320" w:lineRule="exact"/>
              <w:jc w:val="center"/>
              <w:textAlignment w:val="center"/>
              <w:rPr>
                <w:rFonts w:eastAsia="仿宋_GB2312" w:cs="仿宋_GB2312"/>
                <w:sz w:val="24"/>
              </w:rPr>
            </w:pPr>
          </w:p>
        </w:tc>
        <w:tc>
          <w:tcPr>
            <w:tcW w:w="1080" w:type="dxa"/>
            <w:gridSpan w:val="3"/>
            <w:vAlign w:val="center"/>
          </w:tcPr>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1"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仿宋_GB2312" w:cs="仿宋_GB2312"/>
                <w:b/>
                <w:bCs/>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8" w:hRule="atLeast"/>
          <w:jc w:val="center"/>
        </w:trPr>
        <w:tc>
          <w:tcPr>
            <w:tcW w:w="1698" w:type="dxa"/>
            <w:gridSpan w:val="3"/>
            <w:vMerge w:val="restart"/>
            <w:vAlign w:val="center"/>
          </w:tcPr>
          <w:p>
            <w:pPr>
              <w:snapToGrid w:val="0"/>
              <w:spacing w:line="320" w:lineRule="exact"/>
              <w:jc w:val="center"/>
              <w:rPr>
                <w:rFonts w:eastAsia="仿宋_GB2312" w:cs="仿宋_GB2312"/>
                <w:sz w:val="24"/>
              </w:rPr>
            </w:pPr>
            <w:r>
              <w:rPr>
                <w:rFonts w:hint="eastAsia" w:eastAsia="仿宋_GB2312" w:cs="仿宋_GB2312"/>
                <w:sz w:val="24"/>
              </w:rPr>
              <w:t>机构名称</w:t>
            </w:r>
          </w:p>
        </w:tc>
        <w:tc>
          <w:tcPr>
            <w:tcW w:w="1332"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支出合计</w:t>
            </w:r>
          </w:p>
        </w:tc>
        <w:tc>
          <w:tcPr>
            <w:tcW w:w="542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91"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332"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103"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基本支出</w:t>
            </w:r>
          </w:p>
        </w:tc>
        <w:tc>
          <w:tcPr>
            <w:tcW w:w="3242" w:type="dxa"/>
            <w:gridSpan w:val="6"/>
            <w:tcBorders>
              <w:top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1"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332"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103" w:type="dxa"/>
            <w:gridSpan w:val="2"/>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53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人员支出</w:t>
            </w:r>
          </w:p>
        </w:tc>
        <w:tc>
          <w:tcPr>
            <w:tcW w:w="171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2"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332" w:type="dxa"/>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lang w:val="en-US" w:eastAsia="zh-CN"/>
              </w:rPr>
              <w:t>2705.83</w:t>
            </w:r>
          </w:p>
        </w:tc>
        <w:tc>
          <w:tcPr>
            <w:tcW w:w="1103"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532" w:type="dxa"/>
            <w:gridSpan w:val="2"/>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2061.43</w:t>
            </w:r>
          </w:p>
        </w:tc>
        <w:tc>
          <w:tcPr>
            <w:tcW w:w="1710" w:type="dxa"/>
            <w:gridSpan w:val="4"/>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306.3</w:t>
            </w:r>
          </w:p>
        </w:tc>
        <w:tc>
          <w:tcPr>
            <w:tcW w:w="1080" w:type="dxa"/>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338.1</w:t>
            </w:r>
          </w:p>
        </w:tc>
        <w:tc>
          <w:tcPr>
            <w:tcW w:w="720"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9"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1、局机关</w:t>
            </w:r>
          </w:p>
        </w:tc>
        <w:tc>
          <w:tcPr>
            <w:tcW w:w="1332"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103"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532" w:type="dxa"/>
            <w:gridSpan w:val="2"/>
            <w:vAlign w:val="center"/>
          </w:tcPr>
          <w:p>
            <w:pPr>
              <w:autoSpaceDN w:val="0"/>
              <w:spacing w:line="320" w:lineRule="exact"/>
              <w:jc w:val="center"/>
              <w:textAlignment w:val="center"/>
              <w:rPr>
                <w:rFonts w:eastAsia="仿宋_GB2312" w:cs="仿宋_GB2312"/>
                <w:sz w:val="24"/>
              </w:rPr>
            </w:pPr>
          </w:p>
        </w:tc>
        <w:tc>
          <w:tcPr>
            <w:tcW w:w="1710" w:type="dxa"/>
            <w:gridSpan w:val="4"/>
            <w:vAlign w:val="center"/>
          </w:tcPr>
          <w:p>
            <w:pPr>
              <w:autoSpaceDN w:val="0"/>
              <w:spacing w:line="320" w:lineRule="exact"/>
              <w:jc w:val="center"/>
              <w:textAlignment w:val="center"/>
              <w:rPr>
                <w:rFonts w:eastAsia="仿宋_GB2312" w:cs="仿宋_GB2312"/>
                <w:sz w:val="24"/>
              </w:rPr>
            </w:pPr>
          </w:p>
        </w:tc>
        <w:tc>
          <w:tcPr>
            <w:tcW w:w="1080" w:type="dxa"/>
            <w:vAlign w:val="center"/>
          </w:tcPr>
          <w:p>
            <w:pPr>
              <w:autoSpaceDN w:val="0"/>
              <w:spacing w:line="320" w:lineRule="exact"/>
              <w:jc w:val="center"/>
              <w:textAlignment w:val="center"/>
              <w:rPr>
                <w:rFonts w:eastAsia="仿宋_GB2312" w:cs="仿宋_GB2312"/>
                <w:sz w:val="24"/>
              </w:rPr>
            </w:pPr>
          </w:p>
        </w:tc>
        <w:tc>
          <w:tcPr>
            <w:tcW w:w="720"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7"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2、二级机构1</w:t>
            </w:r>
          </w:p>
        </w:tc>
        <w:tc>
          <w:tcPr>
            <w:tcW w:w="1332" w:type="dxa"/>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lang w:val="en-US" w:eastAsia="zh-CN"/>
              </w:rPr>
              <w:t>2705.83</w:t>
            </w:r>
          </w:p>
        </w:tc>
        <w:tc>
          <w:tcPr>
            <w:tcW w:w="1103"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53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lang w:val="en-US" w:eastAsia="zh-CN"/>
              </w:rPr>
              <w:t>2061.43</w:t>
            </w:r>
          </w:p>
        </w:tc>
        <w:tc>
          <w:tcPr>
            <w:tcW w:w="171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lang w:val="en-US" w:eastAsia="zh-CN"/>
              </w:rPr>
              <w:t>306.3</w:t>
            </w:r>
          </w:p>
        </w:tc>
        <w:tc>
          <w:tcPr>
            <w:tcW w:w="1080"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lang w:val="en-US" w:eastAsia="zh-CN"/>
              </w:rPr>
              <w:t>338.1</w:t>
            </w:r>
          </w:p>
        </w:tc>
        <w:tc>
          <w:tcPr>
            <w:tcW w:w="720"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5"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3、二级机构2</w:t>
            </w:r>
          </w:p>
        </w:tc>
        <w:tc>
          <w:tcPr>
            <w:tcW w:w="1332"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103"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532" w:type="dxa"/>
            <w:gridSpan w:val="2"/>
            <w:vAlign w:val="center"/>
          </w:tcPr>
          <w:p>
            <w:pPr>
              <w:autoSpaceDN w:val="0"/>
              <w:spacing w:line="320" w:lineRule="exact"/>
              <w:jc w:val="center"/>
              <w:textAlignment w:val="center"/>
              <w:rPr>
                <w:rFonts w:eastAsia="仿宋_GB2312" w:cs="仿宋_GB2312"/>
                <w:sz w:val="24"/>
              </w:rPr>
            </w:pPr>
          </w:p>
        </w:tc>
        <w:tc>
          <w:tcPr>
            <w:tcW w:w="1710" w:type="dxa"/>
            <w:gridSpan w:val="4"/>
            <w:vAlign w:val="center"/>
          </w:tcPr>
          <w:p>
            <w:pPr>
              <w:autoSpaceDN w:val="0"/>
              <w:spacing w:line="320" w:lineRule="exact"/>
              <w:jc w:val="center"/>
              <w:textAlignment w:val="center"/>
              <w:rPr>
                <w:rFonts w:eastAsia="仿宋_GB2312" w:cs="仿宋_GB2312"/>
                <w:sz w:val="24"/>
              </w:rPr>
            </w:pPr>
          </w:p>
        </w:tc>
        <w:tc>
          <w:tcPr>
            <w:tcW w:w="1080" w:type="dxa"/>
            <w:vAlign w:val="center"/>
          </w:tcPr>
          <w:p>
            <w:pPr>
              <w:autoSpaceDN w:val="0"/>
              <w:spacing w:line="320" w:lineRule="exact"/>
              <w:jc w:val="center"/>
              <w:textAlignment w:val="center"/>
              <w:rPr>
                <w:rFonts w:eastAsia="仿宋_GB2312" w:cs="仿宋_GB2312"/>
                <w:sz w:val="24"/>
              </w:rPr>
            </w:pPr>
          </w:p>
        </w:tc>
        <w:tc>
          <w:tcPr>
            <w:tcW w:w="720" w:type="dxa"/>
            <w:gridSpan w:val="3"/>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625" w:type="dxa"/>
            <w:tcBorders>
              <w:left w:val="single" w:color="auto" w:sz="4" w:space="0"/>
            </w:tcBorders>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4" w:hRule="atLeast"/>
          <w:jc w:val="center"/>
        </w:trPr>
        <w:tc>
          <w:tcPr>
            <w:tcW w:w="1698" w:type="dxa"/>
            <w:gridSpan w:val="3"/>
            <w:vMerge w:val="restart"/>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332"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三公经费</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6770" w:type="dxa"/>
            <w:gridSpan w:val="1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21"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332"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103"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公务接待费</w:t>
            </w:r>
          </w:p>
        </w:tc>
        <w:tc>
          <w:tcPr>
            <w:tcW w:w="153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公务用车运行维护费</w:t>
            </w:r>
          </w:p>
        </w:tc>
        <w:tc>
          <w:tcPr>
            <w:tcW w:w="1710" w:type="dxa"/>
            <w:gridSpan w:val="4"/>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公务用车购置费</w:t>
            </w:r>
          </w:p>
        </w:tc>
        <w:tc>
          <w:tcPr>
            <w:tcW w:w="2425" w:type="dxa"/>
            <w:gridSpan w:val="5"/>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因公出国（</w:t>
            </w:r>
            <w:r>
              <w:rPr>
                <w:rFonts w:hint="eastAsia" w:cs="宋体"/>
                <w:sz w:val="24"/>
              </w:rPr>
              <w:t>境）</w:t>
            </w:r>
            <w:r>
              <w:rPr>
                <w:rFonts w:hint="eastAsia" w:eastAsia="仿宋_GB2312" w:cs="仿宋_GB2312"/>
                <w:sz w:val="24"/>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72"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332"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103"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532" w:type="dxa"/>
            <w:gridSpan w:val="2"/>
            <w:vAlign w:val="center"/>
          </w:tcPr>
          <w:p>
            <w:pPr>
              <w:autoSpaceDN w:val="0"/>
              <w:spacing w:line="320" w:lineRule="exact"/>
              <w:jc w:val="center"/>
              <w:textAlignment w:val="center"/>
              <w:rPr>
                <w:rFonts w:eastAsia="仿宋_GB2312" w:cs="仿宋_GB2312"/>
                <w:sz w:val="24"/>
              </w:rPr>
            </w:pPr>
          </w:p>
        </w:tc>
        <w:tc>
          <w:tcPr>
            <w:tcW w:w="1710" w:type="dxa"/>
            <w:gridSpan w:val="4"/>
            <w:vAlign w:val="center"/>
          </w:tcPr>
          <w:p>
            <w:pPr>
              <w:autoSpaceDN w:val="0"/>
              <w:spacing w:line="320" w:lineRule="exact"/>
              <w:jc w:val="center"/>
              <w:textAlignment w:val="center"/>
              <w:rPr>
                <w:rFonts w:eastAsia="仿宋_GB2312" w:cs="仿宋_GB2312"/>
                <w:sz w:val="24"/>
              </w:rPr>
            </w:pPr>
          </w:p>
        </w:tc>
        <w:tc>
          <w:tcPr>
            <w:tcW w:w="2425" w:type="dxa"/>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0"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1、局机关</w:t>
            </w:r>
          </w:p>
        </w:tc>
        <w:tc>
          <w:tcPr>
            <w:tcW w:w="1332"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103"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532" w:type="dxa"/>
            <w:gridSpan w:val="2"/>
            <w:vAlign w:val="center"/>
          </w:tcPr>
          <w:p>
            <w:pPr>
              <w:autoSpaceDN w:val="0"/>
              <w:spacing w:line="320" w:lineRule="exact"/>
              <w:jc w:val="center"/>
              <w:textAlignment w:val="center"/>
              <w:rPr>
                <w:rFonts w:eastAsia="仿宋_GB2312" w:cs="仿宋_GB2312"/>
                <w:sz w:val="24"/>
              </w:rPr>
            </w:pPr>
          </w:p>
        </w:tc>
        <w:tc>
          <w:tcPr>
            <w:tcW w:w="1710" w:type="dxa"/>
            <w:gridSpan w:val="4"/>
            <w:vAlign w:val="center"/>
          </w:tcPr>
          <w:p>
            <w:pPr>
              <w:autoSpaceDN w:val="0"/>
              <w:spacing w:line="320" w:lineRule="exact"/>
              <w:jc w:val="center"/>
              <w:textAlignment w:val="center"/>
              <w:rPr>
                <w:rFonts w:eastAsia="仿宋_GB2312" w:cs="仿宋_GB2312"/>
                <w:sz w:val="24"/>
              </w:rPr>
            </w:pPr>
          </w:p>
        </w:tc>
        <w:tc>
          <w:tcPr>
            <w:tcW w:w="2425" w:type="dxa"/>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93"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2、二级机构1</w:t>
            </w:r>
          </w:p>
        </w:tc>
        <w:tc>
          <w:tcPr>
            <w:tcW w:w="1332"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103"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532" w:type="dxa"/>
            <w:gridSpan w:val="2"/>
            <w:vAlign w:val="center"/>
          </w:tcPr>
          <w:p>
            <w:pPr>
              <w:autoSpaceDN w:val="0"/>
              <w:spacing w:line="320" w:lineRule="exact"/>
              <w:jc w:val="center"/>
              <w:textAlignment w:val="center"/>
              <w:rPr>
                <w:rFonts w:eastAsia="仿宋_GB2312" w:cs="仿宋_GB2312"/>
                <w:sz w:val="24"/>
              </w:rPr>
            </w:pPr>
          </w:p>
        </w:tc>
        <w:tc>
          <w:tcPr>
            <w:tcW w:w="1710" w:type="dxa"/>
            <w:gridSpan w:val="4"/>
            <w:vAlign w:val="center"/>
          </w:tcPr>
          <w:p>
            <w:pPr>
              <w:autoSpaceDN w:val="0"/>
              <w:spacing w:line="320" w:lineRule="exact"/>
              <w:jc w:val="center"/>
              <w:textAlignment w:val="center"/>
              <w:rPr>
                <w:rFonts w:eastAsia="仿宋_GB2312" w:cs="仿宋_GB2312"/>
                <w:sz w:val="24"/>
              </w:rPr>
            </w:pPr>
          </w:p>
        </w:tc>
        <w:tc>
          <w:tcPr>
            <w:tcW w:w="2425" w:type="dxa"/>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83"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3、二级机构2</w:t>
            </w:r>
          </w:p>
        </w:tc>
        <w:tc>
          <w:tcPr>
            <w:tcW w:w="1332"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103" w:type="dxa"/>
            <w:gridSpan w:val="2"/>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1532" w:type="dxa"/>
            <w:gridSpan w:val="2"/>
            <w:vAlign w:val="center"/>
          </w:tcPr>
          <w:p>
            <w:pPr>
              <w:autoSpaceDN w:val="0"/>
              <w:spacing w:line="320" w:lineRule="exact"/>
              <w:jc w:val="center"/>
              <w:textAlignment w:val="center"/>
              <w:rPr>
                <w:rFonts w:eastAsia="仿宋_GB2312" w:cs="仿宋_GB2312"/>
                <w:sz w:val="24"/>
              </w:rPr>
            </w:pPr>
          </w:p>
        </w:tc>
        <w:tc>
          <w:tcPr>
            <w:tcW w:w="1710" w:type="dxa"/>
            <w:gridSpan w:val="4"/>
            <w:vAlign w:val="center"/>
          </w:tcPr>
          <w:p>
            <w:pPr>
              <w:autoSpaceDN w:val="0"/>
              <w:spacing w:line="320" w:lineRule="exact"/>
              <w:jc w:val="center"/>
              <w:textAlignment w:val="center"/>
              <w:rPr>
                <w:rFonts w:eastAsia="仿宋_GB2312" w:cs="仿宋_GB2312"/>
                <w:sz w:val="24"/>
              </w:rPr>
            </w:pPr>
          </w:p>
        </w:tc>
        <w:tc>
          <w:tcPr>
            <w:tcW w:w="2425" w:type="dxa"/>
            <w:gridSpan w:val="5"/>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3" w:hRule="atLeast"/>
          <w:jc w:val="center"/>
        </w:trPr>
        <w:tc>
          <w:tcPr>
            <w:tcW w:w="1698" w:type="dxa"/>
            <w:gridSpan w:val="3"/>
            <w:vMerge w:val="restart"/>
            <w:vAlign w:val="center"/>
          </w:tcPr>
          <w:p>
            <w:pPr>
              <w:spacing w:line="320" w:lineRule="exact"/>
              <w:jc w:val="center"/>
              <w:rPr>
                <w:rFonts w:eastAsia="仿宋_GB2312" w:cs="仿宋_GB2312"/>
                <w:sz w:val="24"/>
              </w:rPr>
            </w:pPr>
            <w:r>
              <w:rPr>
                <w:rFonts w:hint="eastAsia" w:eastAsia="仿宋_GB2312" w:cs="仿宋_GB2312"/>
                <w:sz w:val="24"/>
              </w:rPr>
              <w:t>机构名称</w:t>
            </w:r>
          </w:p>
        </w:tc>
        <w:tc>
          <w:tcPr>
            <w:tcW w:w="1332" w:type="dxa"/>
            <w:vMerge w:val="restart"/>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固定资产</w:t>
            </w:r>
          </w:p>
          <w:p>
            <w:pPr>
              <w:autoSpaceDN w:val="0"/>
              <w:spacing w:line="320" w:lineRule="exact"/>
              <w:jc w:val="center"/>
              <w:textAlignment w:val="center"/>
              <w:rPr>
                <w:rFonts w:eastAsia="仿宋_GB2312" w:cs="仿宋_GB2312"/>
                <w:sz w:val="24"/>
              </w:rPr>
            </w:pPr>
            <w:r>
              <w:rPr>
                <w:rFonts w:hint="eastAsia" w:eastAsia="仿宋_GB2312" w:cs="仿宋_GB2312"/>
                <w:sz w:val="24"/>
              </w:rPr>
              <w:t>合计</w:t>
            </w:r>
          </w:p>
        </w:tc>
        <w:tc>
          <w:tcPr>
            <w:tcW w:w="6770" w:type="dxa"/>
            <w:gridSpan w:val="13"/>
            <w:tcBorders>
              <w:left w:val="single" w:color="auto" w:sz="4" w:space="0"/>
            </w:tcBorders>
            <w:vAlign w:val="center"/>
          </w:tcPr>
          <w:p>
            <w:pPr>
              <w:autoSpaceDN w:val="0"/>
              <w:spacing w:line="320" w:lineRule="exact"/>
              <w:ind w:firstLine="2160" w:firstLineChars="900"/>
              <w:textAlignment w:val="center"/>
              <w:rPr>
                <w:rFonts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9" w:hRule="atLeast"/>
          <w:jc w:val="center"/>
        </w:trPr>
        <w:tc>
          <w:tcPr>
            <w:tcW w:w="1698" w:type="dxa"/>
            <w:gridSpan w:val="3"/>
            <w:vMerge w:val="continue"/>
            <w:vAlign w:val="center"/>
          </w:tcPr>
          <w:p>
            <w:pPr>
              <w:spacing w:line="320" w:lineRule="exact"/>
              <w:jc w:val="center"/>
              <w:rPr>
                <w:rFonts w:eastAsia="仿宋_GB2312" w:cs="仿宋_GB2312"/>
                <w:sz w:val="24"/>
              </w:rPr>
            </w:pPr>
          </w:p>
        </w:tc>
        <w:tc>
          <w:tcPr>
            <w:tcW w:w="1332" w:type="dxa"/>
            <w:vMerge w:val="continue"/>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635"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在用固定资产</w:t>
            </w:r>
          </w:p>
        </w:tc>
        <w:tc>
          <w:tcPr>
            <w:tcW w:w="3194" w:type="dxa"/>
            <w:gridSpan w:val="7"/>
            <w:tcBorders>
              <w:top w:val="single" w:color="auto" w:sz="4" w:space="0"/>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出租固定资产</w:t>
            </w:r>
          </w:p>
        </w:tc>
        <w:tc>
          <w:tcPr>
            <w:tcW w:w="941" w:type="dxa"/>
            <w:gridSpan w:val="2"/>
            <w:tcBorders>
              <w:top w:val="single" w:color="auto" w:sz="4" w:space="0"/>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0"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局机关及二级机构汇总</w:t>
            </w:r>
          </w:p>
        </w:tc>
        <w:tc>
          <w:tcPr>
            <w:tcW w:w="1332" w:type="dxa"/>
            <w:tcBorders>
              <w:right w:val="single" w:color="auto" w:sz="4" w:space="0"/>
            </w:tcBorders>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208.4</w:t>
            </w:r>
          </w:p>
        </w:tc>
        <w:tc>
          <w:tcPr>
            <w:tcW w:w="2635"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p>
          <w:p>
            <w:pPr>
              <w:bidi w:val="0"/>
              <w:jc w:val="center"/>
              <w:rPr>
                <w:rFonts w:ascii="Times New Roman" w:hAnsi="Times New Roman" w:eastAsia="宋体" w:cs="Times New Roman"/>
                <w:kern w:val="2"/>
                <w:sz w:val="21"/>
                <w:szCs w:val="24"/>
                <w:lang w:val="en-US" w:eastAsia="zh-CN" w:bidi="ar-SA"/>
              </w:rPr>
            </w:pPr>
            <w:r>
              <w:rPr>
                <w:rFonts w:hint="eastAsia" w:eastAsia="仿宋_GB2312" w:cs="仿宋_GB2312"/>
                <w:sz w:val="24"/>
                <w:lang w:val="en-US" w:eastAsia="zh-CN"/>
              </w:rPr>
              <w:t>208.4</w:t>
            </w:r>
          </w:p>
        </w:tc>
        <w:tc>
          <w:tcPr>
            <w:tcW w:w="3194" w:type="dxa"/>
            <w:gridSpan w:val="7"/>
            <w:vAlign w:val="center"/>
          </w:tcPr>
          <w:p>
            <w:pPr>
              <w:autoSpaceDN w:val="0"/>
              <w:spacing w:line="320" w:lineRule="exact"/>
              <w:jc w:val="center"/>
              <w:textAlignment w:val="center"/>
              <w:rPr>
                <w:rFonts w:eastAsia="仿宋_GB2312" w:cs="仿宋_GB2312"/>
                <w:sz w:val="24"/>
              </w:rPr>
            </w:pPr>
          </w:p>
        </w:tc>
        <w:tc>
          <w:tcPr>
            <w:tcW w:w="941"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1"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1、局机关</w:t>
            </w:r>
          </w:p>
        </w:tc>
        <w:tc>
          <w:tcPr>
            <w:tcW w:w="1332"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635"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3194" w:type="dxa"/>
            <w:gridSpan w:val="7"/>
            <w:vAlign w:val="center"/>
          </w:tcPr>
          <w:p>
            <w:pPr>
              <w:autoSpaceDN w:val="0"/>
              <w:spacing w:line="320" w:lineRule="exact"/>
              <w:jc w:val="center"/>
              <w:textAlignment w:val="center"/>
              <w:rPr>
                <w:rFonts w:eastAsia="仿宋_GB2312" w:cs="仿宋_GB2312"/>
                <w:sz w:val="24"/>
              </w:rPr>
            </w:pPr>
          </w:p>
        </w:tc>
        <w:tc>
          <w:tcPr>
            <w:tcW w:w="941"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2、二级机构1</w:t>
            </w:r>
          </w:p>
        </w:tc>
        <w:tc>
          <w:tcPr>
            <w:tcW w:w="1332" w:type="dxa"/>
            <w:tcBorders>
              <w:righ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lang w:val="en-US" w:eastAsia="zh-CN"/>
              </w:rPr>
              <w:t>208.4</w:t>
            </w:r>
          </w:p>
        </w:tc>
        <w:tc>
          <w:tcPr>
            <w:tcW w:w="2635"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lang w:val="en-US" w:eastAsia="zh-CN"/>
              </w:rPr>
              <w:t>208.4</w:t>
            </w:r>
          </w:p>
        </w:tc>
        <w:tc>
          <w:tcPr>
            <w:tcW w:w="3194" w:type="dxa"/>
            <w:gridSpan w:val="7"/>
            <w:vAlign w:val="center"/>
          </w:tcPr>
          <w:p>
            <w:pPr>
              <w:autoSpaceDN w:val="0"/>
              <w:spacing w:line="320" w:lineRule="exact"/>
              <w:jc w:val="center"/>
              <w:textAlignment w:val="center"/>
              <w:rPr>
                <w:rFonts w:eastAsia="仿宋_GB2312" w:cs="仿宋_GB2312"/>
                <w:sz w:val="24"/>
              </w:rPr>
            </w:pPr>
          </w:p>
        </w:tc>
        <w:tc>
          <w:tcPr>
            <w:tcW w:w="941"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9" w:hRule="atLeast"/>
          <w:jc w:val="center"/>
        </w:trPr>
        <w:tc>
          <w:tcPr>
            <w:tcW w:w="1698" w:type="dxa"/>
            <w:gridSpan w:val="3"/>
            <w:vAlign w:val="center"/>
          </w:tcPr>
          <w:p>
            <w:pPr>
              <w:spacing w:line="320" w:lineRule="exact"/>
              <w:jc w:val="left"/>
              <w:rPr>
                <w:rFonts w:eastAsia="仿宋_GB2312" w:cs="仿宋_GB2312"/>
                <w:sz w:val="24"/>
              </w:rPr>
            </w:pPr>
            <w:r>
              <w:rPr>
                <w:rFonts w:hint="eastAsia" w:eastAsia="仿宋_GB2312" w:cs="仿宋_GB2312"/>
                <w:sz w:val="24"/>
              </w:rPr>
              <w:t>3、二级机构2</w:t>
            </w:r>
          </w:p>
        </w:tc>
        <w:tc>
          <w:tcPr>
            <w:tcW w:w="1332"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2635" w:type="dxa"/>
            <w:gridSpan w:val="4"/>
            <w:tcBorders>
              <w:left w:val="single" w:color="auto" w:sz="4" w:space="0"/>
            </w:tcBorders>
            <w:vAlign w:val="center"/>
          </w:tcPr>
          <w:p>
            <w:pPr>
              <w:autoSpaceDN w:val="0"/>
              <w:spacing w:line="320" w:lineRule="exact"/>
              <w:jc w:val="center"/>
              <w:textAlignment w:val="center"/>
              <w:rPr>
                <w:rFonts w:eastAsia="仿宋_GB2312" w:cs="仿宋_GB2312"/>
                <w:sz w:val="24"/>
              </w:rPr>
            </w:pPr>
          </w:p>
        </w:tc>
        <w:tc>
          <w:tcPr>
            <w:tcW w:w="3194" w:type="dxa"/>
            <w:gridSpan w:val="7"/>
            <w:vAlign w:val="center"/>
          </w:tcPr>
          <w:p>
            <w:pPr>
              <w:autoSpaceDN w:val="0"/>
              <w:spacing w:line="320" w:lineRule="exact"/>
              <w:jc w:val="center"/>
              <w:textAlignment w:val="center"/>
              <w:rPr>
                <w:rFonts w:eastAsia="仿宋_GB2312" w:cs="仿宋_GB2312"/>
                <w:sz w:val="24"/>
              </w:rPr>
            </w:pPr>
          </w:p>
        </w:tc>
        <w:tc>
          <w:tcPr>
            <w:tcW w:w="941" w:type="dxa"/>
            <w:gridSpan w:val="2"/>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2"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7" w:hRule="atLeast"/>
          <w:jc w:val="center"/>
        </w:trPr>
        <w:tc>
          <w:tcPr>
            <w:tcW w:w="1440" w:type="dxa"/>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整体支出绩效定性目标及实施计划完成情况</w:t>
            </w:r>
          </w:p>
        </w:tc>
        <w:tc>
          <w:tcPr>
            <w:tcW w:w="4225" w:type="dxa"/>
            <w:gridSpan w:val="7"/>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预期目标</w:t>
            </w:r>
          </w:p>
        </w:tc>
        <w:tc>
          <w:tcPr>
            <w:tcW w:w="4135" w:type="dxa"/>
            <w:gridSpan w:val="9"/>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70" w:hRule="atLeast"/>
          <w:jc w:val="center"/>
        </w:trPr>
        <w:tc>
          <w:tcPr>
            <w:tcW w:w="1440" w:type="dxa"/>
            <w:vMerge w:val="continue"/>
            <w:vAlign w:val="center"/>
          </w:tcPr>
          <w:p>
            <w:pPr>
              <w:spacing w:line="320" w:lineRule="exact"/>
              <w:rPr>
                <w:rFonts w:eastAsia="仿宋_GB2312" w:cs="仿宋_GB2312"/>
                <w:sz w:val="24"/>
              </w:rPr>
            </w:pPr>
          </w:p>
        </w:tc>
        <w:tc>
          <w:tcPr>
            <w:tcW w:w="4225" w:type="dxa"/>
            <w:gridSpan w:val="7"/>
            <w:vAlign w:val="center"/>
          </w:tcPr>
          <w:p>
            <w:pPr>
              <w:autoSpaceDN w:val="0"/>
              <w:spacing w:line="320" w:lineRule="exact"/>
              <w:jc w:val="left"/>
              <w:textAlignment w:val="center"/>
              <w:rPr>
                <w:rFonts w:ascii="仿宋" w:hAnsi="仿宋" w:eastAsia="仿宋" w:cs="仿宋"/>
                <w:sz w:val="24"/>
              </w:rPr>
            </w:pPr>
            <w:r>
              <w:rPr>
                <w:rFonts w:hint="eastAsia" w:eastAsia="仿宋_GB2312" w:cs="仿宋_GB2312"/>
                <w:sz w:val="24"/>
              </w:rPr>
              <w:t>目标1：贯彻落实上级的文件精神，</w:t>
            </w:r>
            <w:r>
              <w:rPr>
                <w:rFonts w:hint="eastAsia" w:ascii="仿宋" w:hAnsi="仿宋" w:eastAsia="仿宋" w:cs="仿宋"/>
                <w:sz w:val="24"/>
              </w:rPr>
              <w:t>优化学校育人环境，提高教学服务质量</w:t>
            </w:r>
          </w:p>
          <w:p>
            <w:pPr>
              <w:autoSpaceDN w:val="0"/>
              <w:spacing w:line="320" w:lineRule="exact"/>
              <w:jc w:val="left"/>
              <w:textAlignment w:val="center"/>
              <w:rPr>
                <w:rFonts w:hint="eastAsia" w:eastAsia="仿宋_GB2312" w:cs="仿宋_GB2312"/>
                <w:sz w:val="24"/>
              </w:rPr>
            </w:pPr>
            <w:r>
              <w:rPr>
                <w:rFonts w:eastAsia="仿宋_GB2312" w:cs="仿宋_GB2312"/>
                <w:sz w:val="24"/>
              </w:rPr>
              <w:t>目标</w:t>
            </w:r>
            <w:r>
              <w:rPr>
                <w:rFonts w:hint="eastAsia" w:eastAsia="仿宋_GB2312" w:cs="仿宋_GB2312"/>
                <w:sz w:val="24"/>
              </w:rPr>
              <w:t>2：开展学生德育活动，通过多种有效途径加强学生爱国主义教育，强化法制、安全、心理健康。</w:t>
            </w:r>
          </w:p>
          <w:p>
            <w:pPr>
              <w:autoSpaceDN w:val="0"/>
              <w:spacing w:line="320" w:lineRule="exact"/>
              <w:jc w:val="left"/>
              <w:textAlignment w:val="center"/>
              <w:rPr>
                <w:rFonts w:hint="eastAsia" w:eastAsia="仿宋_GB2312" w:cs="仿宋_GB2312"/>
                <w:sz w:val="24"/>
                <w:lang w:eastAsia="zh-CN"/>
              </w:rPr>
            </w:pPr>
            <w:r>
              <w:rPr>
                <w:rFonts w:eastAsia="仿宋_GB2312" w:cs="仿宋_GB2312"/>
                <w:sz w:val="24"/>
              </w:rPr>
              <w:t>目标</w:t>
            </w:r>
            <w:r>
              <w:rPr>
                <w:rFonts w:hint="eastAsia" w:eastAsia="仿宋_GB2312" w:cs="仿宋_GB2312"/>
                <w:sz w:val="24"/>
                <w:lang w:val="en-US" w:eastAsia="zh-CN"/>
              </w:rPr>
              <w:t>3</w:t>
            </w:r>
            <w:r>
              <w:rPr>
                <w:rFonts w:eastAsia="仿宋_GB2312" w:cs="仿宋_GB2312"/>
                <w:sz w:val="24"/>
              </w:rPr>
              <w:t>：开展教育科学研究 活动。积极倡导小课题深研究， 组织教师对教育教学和管理中 的难点和热点问题开展研究， 提倡行动研究，注重研究的可 操作性与实效性</w:t>
            </w:r>
            <w:r>
              <w:rPr>
                <w:rFonts w:hint="eastAsia" w:eastAsia="仿宋_GB2312" w:cs="仿宋_GB2312"/>
                <w:sz w:val="24"/>
                <w:lang w:eastAsia="zh-CN"/>
              </w:rPr>
              <w:t>。</w:t>
            </w:r>
          </w:p>
          <w:p>
            <w:pPr>
              <w:autoSpaceDN w:val="0"/>
              <w:spacing w:line="320" w:lineRule="exact"/>
              <w:jc w:val="left"/>
              <w:textAlignment w:val="center"/>
              <w:rPr>
                <w:rFonts w:hint="eastAsia" w:eastAsia="仿宋_GB2312" w:cs="仿宋_GB2312"/>
                <w:sz w:val="24"/>
              </w:rPr>
            </w:pPr>
            <w:r>
              <w:rPr>
                <w:rFonts w:eastAsia="仿宋_GB2312" w:cs="仿宋_GB2312"/>
                <w:sz w:val="24"/>
              </w:rPr>
              <w:t>目标</w:t>
            </w:r>
            <w:r>
              <w:rPr>
                <w:rFonts w:hint="eastAsia" w:eastAsia="仿宋_GB2312" w:cs="仿宋_GB2312"/>
                <w:sz w:val="24"/>
                <w:lang w:val="en-US" w:eastAsia="zh-CN"/>
              </w:rPr>
              <w:t>4</w:t>
            </w:r>
            <w:r>
              <w:rPr>
                <w:rFonts w:eastAsia="仿宋_GB2312" w:cs="仿宋_GB2312"/>
                <w:sz w:val="24"/>
              </w:rPr>
              <w:t xml:space="preserve">：开展教师培训活 动。规范教师培训制度，组织 教职工开展师德培训，加强继 续教育工作，根据校本培训方 案认真实施校本培训工作，努 力提升教师整体素质。 </w:t>
            </w:r>
          </w:p>
          <w:p>
            <w:pPr>
              <w:autoSpaceDN w:val="0"/>
              <w:spacing w:line="320" w:lineRule="exact"/>
              <w:jc w:val="left"/>
              <w:textAlignment w:val="center"/>
              <w:rPr>
                <w:rFonts w:eastAsia="仿宋_GB2312" w:cs="仿宋_GB2312"/>
                <w:sz w:val="24"/>
              </w:rPr>
            </w:pPr>
            <w:r>
              <w:rPr>
                <w:rFonts w:eastAsia="仿宋_GB2312" w:cs="仿宋_GB2312"/>
                <w:sz w:val="24"/>
              </w:rPr>
              <w:t>目标</w:t>
            </w:r>
            <w:r>
              <w:rPr>
                <w:rFonts w:hint="eastAsia" w:eastAsia="仿宋_GB2312" w:cs="仿宋_GB2312"/>
                <w:sz w:val="24"/>
                <w:lang w:val="en-US" w:eastAsia="zh-CN"/>
              </w:rPr>
              <w:t>5</w:t>
            </w:r>
            <w:r>
              <w:rPr>
                <w:rFonts w:eastAsia="仿宋_GB2312" w:cs="仿宋_GB2312"/>
                <w:sz w:val="24"/>
              </w:rPr>
              <w:t xml:space="preserve">：开展学校后勤服务 活动。加强校产管理，规范校 产的购入、登记、出借、报损、 核查和入账手续，做到账物相 符、帐帐相符。规范财务管理， 严格执行有关收费规定，及时 公示收费项目和标准。 </w:t>
            </w:r>
          </w:p>
        </w:tc>
        <w:tc>
          <w:tcPr>
            <w:tcW w:w="4135" w:type="dxa"/>
            <w:gridSpan w:val="9"/>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lang w:val="en-US" w:eastAsia="zh-CN"/>
              </w:rPr>
              <w:t>1</w:t>
            </w:r>
            <w:r>
              <w:rPr>
                <w:rFonts w:hint="eastAsia" w:eastAsia="仿宋_GB2312" w:cs="仿宋_GB2312"/>
                <w:sz w:val="24"/>
              </w:rPr>
              <w:t>、教育教学</w:t>
            </w:r>
            <w:r>
              <w:rPr>
                <w:rFonts w:hint="eastAsia" w:eastAsia="仿宋_GB2312" w:cs="仿宋_GB2312"/>
                <w:sz w:val="24"/>
                <w:lang w:eastAsia="zh-CN"/>
              </w:rPr>
              <w:t>：</w:t>
            </w:r>
            <w:r>
              <w:rPr>
                <w:rFonts w:hint="eastAsia" w:eastAsia="仿宋_GB2312" w:cs="仿宋_GB2312"/>
                <w:sz w:val="24"/>
              </w:rPr>
              <w:t>我校始终坚持以教育教学为中心，注重培养学生的综合素质。我们通过优化课程设置、加强课堂教学管理、开展丰富多彩的课外活动等方式，提高了教育教学质量。</w:t>
            </w: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r>
              <w:rPr>
                <w:rFonts w:eastAsia="仿宋_GB2312" w:cs="仿宋_GB2312"/>
                <w:sz w:val="24"/>
              </w:rPr>
              <w:t>2、校园安全：</w:t>
            </w:r>
            <w:r>
              <w:rPr>
                <w:rFonts w:hint="eastAsia" w:eastAsia="仿宋_GB2312" w:cs="仿宋_GB2312"/>
                <w:sz w:val="24"/>
              </w:rPr>
              <w:t>开学第一课、安全教育、防溺水签字仪式等专题活动以及防灾灭灾演练、急救知识教育等，都为学生提供了全面的德育教育。</w:t>
            </w:r>
            <w:r>
              <w:rPr>
                <w:rFonts w:eastAsia="仿宋_GB2312" w:cs="仿宋_GB2312"/>
                <w:sz w:val="24"/>
              </w:rPr>
              <w:t>学校的安全工作作为首要工作来抓，</w:t>
            </w:r>
            <w:r>
              <w:rPr>
                <w:rFonts w:hint="eastAsia" w:eastAsia="仿宋_GB2312" w:cs="仿宋_GB2312"/>
                <w:sz w:val="24"/>
              </w:rPr>
              <w:t>20</w:t>
            </w:r>
            <w:r>
              <w:rPr>
                <w:rFonts w:hint="eastAsia" w:eastAsia="仿宋_GB2312" w:cs="仿宋_GB2312"/>
                <w:sz w:val="24"/>
                <w:lang w:val="en-US" w:eastAsia="zh-CN"/>
              </w:rPr>
              <w:t>3年</w:t>
            </w:r>
            <w:r>
              <w:rPr>
                <w:rFonts w:eastAsia="仿宋_GB2312" w:cs="仿宋_GB2312"/>
                <w:sz w:val="24"/>
              </w:rPr>
              <w:t>学校无一安全事故发生。</w:t>
            </w:r>
          </w:p>
          <w:p>
            <w:pPr>
              <w:autoSpaceDN w:val="0"/>
              <w:spacing w:line="320" w:lineRule="exact"/>
              <w:jc w:val="left"/>
              <w:textAlignment w:val="center"/>
              <w:rPr>
                <w:rFonts w:eastAsia="仿宋_GB2312" w:cs="仿宋_GB2312"/>
                <w:sz w:val="24"/>
              </w:rPr>
            </w:pPr>
            <w:r>
              <w:rPr>
                <w:rFonts w:hint="eastAsia" w:eastAsia="仿宋_GB2312" w:cs="仿宋_GB2312"/>
                <w:sz w:val="24"/>
                <w:lang w:val="en-US" w:eastAsia="zh-CN"/>
              </w:rPr>
              <w:t>3</w:t>
            </w:r>
            <w:r>
              <w:rPr>
                <w:rFonts w:hint="eastAsia" w:eastAsia="仿宋_GB2312" w:cs="仿宋_GB2312"/>
                <w:sz w:val="24"/>
              </w:rPr>
              <w:t>、</w:t>
            </w:r>
            <w:r>
              <w:rPr>
                <w:rFonts w:eastAsia="仿宋_GB2312" w:cs="仿宋_GB2312"/>
                <w:sz w:val="24"/>
              </w:rPr>
              <w:t>加强师德师风，做好全体教师的思想及政治工作，保证校园的风清气正。</w:t>
            </w:r>
          </w:p>
          <w:p>
            <w:pPr>
              <w:autoSpaceDN w:val="0"/>
              <w:spacing w:line="320" w:lineRule="exact"/>
              <w:jc w:val="left"/>
              <w:textAlignment w:val="center"/>
              <w:rPr>
                <w:rFonts w:hint="eastAsia" w:eastAsia="仿宋_GB2312" w:cs="仿宋_GB2312"/>
                <w:sz w:val="24"/>
                <w:lang w:val="en-US" w:eastAsia="zh-CN"/>
              </w:rPr>
            </w:pPr>
            <w:r>
              <w:rPr>
                <w:rFonts w:hint="eastAsia" w:eastAsia="仿宋_GB2312" w:cs="仿宋_GB2312"/>
                <w:sz w:val="24"/>
                <w:lang w:val="en-US" w:eastAsia="zh-CN"/>
              </w:rPr>
              <w:t>4、后勤服务：我校注重加强基础设施建设和服务质量提升。我们加强了校园环境的整治和绿化工作，为师生提供了舒适的学习和生活环境。同时，我们还加强了食堂、宿舍等后勤服务的管理工作，确保了师生饮食和住宿的安全和舒适。</w:t>
            </w:r>
          </w:p>
          <w:p>
            <w:pPr>
              <w:autoSpaceDN w:val="0"/>
              <w:spacing w:line="320" w:lineRule="exact"/>
              <w:jc w:val="left"/>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1" w:hRule="atLeast"/>
          <w:jc w:val="center"/>
        </w:trPr>
        <w:tc>
          <w:tcPr>
            <w:tcW w:w="1440" w:type="dxa"/>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整体支出</w:t>
            </w:r>
          </w:p>
          <w:p>
            <w:pPr>
              <w:autoSpaceDN w:val="0"/>
              <w:spacing w:line="320" w:lineRule="exact"/>
              <w:jc w:val="center"/>
              <w:textAlignment w:val="center"/>
              <w:rPr>
                <w:rFonts w:eastAsia="仿宋_GB2312" w:cs="仿宋_GB2312"/>
                <w:sz w:val="24"/>
              </w:rPr>
            </w:pPr>
            <w:r>
              <w:rPr>
                <w:rFonts w:hint="eastAsia" w:eastAsia="仿宋_GB2312" w:cs="仿宋_GB2312"/>
                <w:sz w:val="24"/>
              </w:rPr>
              <w:t>绩效定量目标及实施计划完成情况</w:t>
            </w:r>
          </w:p>
        </w:tc>
        <w:tc>
          <w:tcPr>
            <w:tcW w:w="3149"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评价内容</w:t>
            </w:r>
          </w:p>
        </w:tc>
        <w:tc>
          <w:tcPr>
            <w:tcW w:w="1076" w:type="dxa"/>
            <w:tcBorders>
              <w:right w:val="single" w:color="auto" w:sz="4" w:space="0"/>
            </w:tcBorders>
            <w:vAlign w:val="center"/>
          </w:tcPr>
          <w:p>
            <w:pPr>
              <w:autoSpaceDN w:val="0"/>
              <w:spacing w:line="320" w:lineRule="exact"/>
              <w:jc w:val="center"/>
              <w:textAlignment w:val="center"/>
              <w:rPr>
                <w:rFonts w:eastAsia="仿宋_GB2312" w:cs="仿宋_GB2312"/>
                <w:sz w:val="24"/>
              </w:rPr>
            </w:pPr>
          </w:p>
        </w:tc>
        <w:tc>
          <w:tcPr>
            <w:tcW w:w="1449" w:type="dxa"/>
            <w:gridSpan w:val="3"/>
            <w:tcBorders>
              <w:left w:val="single" w:color="auto" w:sz="4" w:space="0"/>
            </w:tcBorders>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绩效目标</w:t>
            </w:r>
          </w:p>
        </w:tc>
        <w:tc>
          <w:tcPr>
            <w:tcW w:w="2686"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1" w:hRule="atLeast"/>
          <w:jc w:val="center"/>
        </w:trPr>
        <w:tc>
          <w:tcPr>
            <w:tcW w:w="1440" w:type="dxa"/>
            <w:vMerge w:val="continue"/>
            <w:vAlign w:val="center"/>
          </w:tcPr>
          <w:p>
            <w:pPr>
              <w:spacing w:line="320" w:lineRule="exact"/>
              <w:rPr>
                <w:rFonts w:eastAsia="仿宋_GB2312" w:cs="仿宋_GB2312"/>
                <w:sz w:val="24"/>
              </w:rPr>
            </w:pPr>
          </w:p>
        </w:tc>
        <w:tc>
          <w:tcPr>
            <w:tcW w:w="2015" w:type="dxa"/>
            <w:gridSpan w:val="4"/>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产出目标</w:t>
            </w:r>
          </w:p>
          <w:p>
            <w:pPr>
              <w:autoSpaceDN w:val="0"/>
              <w:spacing w:line="320" w:lineRule="exact"/>
              <w:jc w:val="center"/>
              <w:textAlignment w:val="center"/>
              <w:rPr>
                <w:rFonts w:eastAsia="仿宋_GB2312" w:cs="仿宋_GB2312"/>
                <w:sz w:val="24"/>
              </w:rPr>
            </w:pPr>
            <w:r>
              <w:rPr>
                <w:rFonts w:hint="eastAsia" w:eastAsia="仿宋_GB2312" w:cs="仿宋_GB2312"/>
                <w:sz w:val="24"/>
              </w:rPr>
              <w:t>（部门工作实绩，包含上级部门和市委、市政府布置的重点工作、实事任务等，根据部门实际进行调整细化）</w:t>
            </w:r>
          </w:p>
        </w:tc>
        <w:tc>
          <w:tcPr>
            <w:tcW w:w="1134" w:type="dxa"/>
            <w:gridSpan w:val="2"/>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数量、质量、时效、成本指标</w:t>
            </w:r>
          </w:p>
          <w:p>
            <w:pPr>
              <w:autoSpaceDN w:val="0"/>
              <w:spacing w:line="320" w:lineRule="exact"/>
              <w:jc w:val="center"/>
              <w:textAlignment w:val="center"/>
              <w:rPr>
                <w:rFonts w:eastAsia="仿宋_GB2312" w:cs="仿宋_GB2312"/>
                <w:sz w:val="24"/>
              </w:rPr>
            </w:pPr>
          </w:p>
        </w:tc>
        <w:tc>
          <w:tcPr>
            <w:tcW w:w="1076"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指标1</w:t>
            </w:r>
          </w:p>
        </w:tc>
        <w:tc>
          <w:tcPr>
            <w:tcW w:w="1449"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校园修缮建设</w:t>
            </w:r>
          </w:p>
        </w:tc>
        <w:tc>
          <w:tcPr>
            <w:tcW w:w="2686" w:type="dxa"/>
            <w:gridSpan w:val="6"/>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eastAsia="zh-CN"/>
              </w:rPr>
              <w:t>及时高效完成校园修缮工作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5" w:hRule="atLeast"/>
          <w:jc w:val="center"/>
        </w:trPr>
        <w:tc>
          <w:tcPr>
            <w:tcW w:w="1440" w:type="dxa"/>
            <w:vMerge w:val="continue"/>
            <w:vAlign w:val="center"/>
          </w:tcPr>
          <w:p>
            <w:pPr>
              <w:spacing w:line="320" w:lineRule="exact"/>
              <w:rPr>
                <w:rFonts w:eastAsia="仿宋_GB2312" w:cs="仿宋_GB2312"/>
                <w:sz w:val="24"/>
              </w:rPr>
            </w:pPr>
          </w:p>
        </w:tc>
        <w:tc>
          <w:tcPr>
            <w:tcW w:w="2015" w:type="dxa"/>
            <w:gridSpan w:val="4"/>
            <w:vMerge w:val="continue"/>
            <w:vAlign w:val="center"/>
          </w:tcPr>
          <w:p>
            <w:pPr>
              <w:autoSpaceDN w:val="0"/>
              <w:spacing w:line="320" w:lineRule="exact"/>
              <w:rPr>
                <w:rFonts w:eastAsia="仿宋_GB2312" w:cs="仿宋_GB2312"/>
                <w:sz w:val="24"/>
              </w:rPr>
            </w:pPr>
          </w:p>
        </w:tc>
        <w:tc>
          <w:tcPr>
            <w:tcW w:w="1134" w:type="dxa"/>
            <w:gridSpan w:val="2"/>
            <w:vMerge w:val="continue"/>
            <w:vAlign w:val="center"/>
          </w:tcPr>
          <w:p>
            <w:pPr>
              <w:autoSpaceDN w:val="0"/>
              <w:spacing w:line="320" w:lineRule="exact"/>
              <w:jc w:val="center"/>
              <w:textAlignment w:val="center"/>
              <w:rPr>
                <w:rFonts w:eastAsia="仿宋_GB2312" w:cs="仿宋_GB2312"/>
                <w:sz w:val="24"/>
              </w:rPr>
            </w:pPr>
          </w:p>
        </w:tc>
        <w:tc>
          <w:tcPr>
            <w:tcW w:w="1076" w:type="dxa"/>
            <w:tcBorders>
              <w:right w:val="single" w:color="auto" w:sz="4" w:space="0"/>
            </w:tcBorders>
          </w:tcPr>
          <w:p>
            <w:r>
              <w:rPr>
                <w:rFonts w:hint="eastAsia" w:eastAsia="仿宋_GB2312" w:cs="仿宋_GB2312"/>
                <w:sz w:val="24"/>
              </w:rPr>
              <w:t>指标2</w:t>
            </w:r>
          </w:p>
        </w:tc>
        <w:tc>
          <w:tcPr>
            <w:tcW w:w="1449" w:type="dxa"/>
            <w:gridSpan w:val="3"/>
            <w:tcBorders>
              <w:left w:val="single" w:color="auto" w:sz="4" w:space="0"/>
            </w:tcBorders>
          </w:tcPr>
          <w:p>
            <w:pPr>
              <w:autoSpaceDN w:val="0"/>
              <w:spacing w:line="320" w:lineRule="exact"/>
              <w:jc w:val="left"/>
              <w:textAlignment w:val="center"/>
              <w:rPr>
                <w:rFonts w:eastAsia="仿宋_GB2312" w:cs="仿宋_GB2312"/>
                <w:sz w:val="24"/>
              </w:rPr>
            </w:pPr>
            <w:r>
              <w:rPr>
                <w:rFonts w:hint="eastAsia" w:eastAsia="仿宋_GB2312" w:cs="仿宋_GB2312"/>
                <w:sz w:val="24"/>
              </w:rPr>
              <w:t>教职工工会活动</w:t>
            </w:r>
          </w:p>
        </w:tc>
        <w:tc>
          <w:tcPr>
            <w:tcW w:w="2686" w:type="dxa"/>
            <w:gridSpan w:val="6"/>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完成教职工工会活动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9" w:hRule="atLeast"/>
          <w:jc w:val="center"/>
        </w:trPr>
        <w:tc>
          <w:tcPr>
            <w:tcW w:w="1440" w:type="dxa"/>
            <w:vMerge w:val="continue"/>
            <w:vAlign w:val="center"/>
          </w:tcPr>
          <w:p>
            <w:pPr>
              <w:spacing w:line="320" w:lineRule="exact"/>
              <w:rPr>
                <w:rFonts w:eastAsia="仿宋_GB2312" w:cs="仿宋_GB2312"/>
                <w:sz w:val="24"/>
              </w:rPr>
            </w:pPr>
          </w:p>
        </w:tc>
        <w:tc>
          <w:tcPr>
            <w:tcW w:w="2015" w:type="dxa"/>
            <w:gridSpan w:val="4"/>
            <w:vMerge w:val="continue"/>
            <w:vAlign w:val="center"/>
          </w:tcPr>
          <w:p>
            <w:pPr>
              <w:autoSpaceDN w:val="0"/>
              <w:spacing w:line="320" w:lineRule="exact"/>
              <w:rPr>
                <w:rFonts w:eastAsia="仿宋_GB2312" w:cs="仿宋_GB2312"/>
                <w:sz w:val="24"/>
              </w:rPr>
            </w:pPr>
          </w:p>
        </w:tc>
        <w:tc>
          <w:tcPr>
            <w:tcW w:w="1134" w:type="dxa"/>
            <w:gridSpan w:val="2"/>
            <w:vMerge w:val="continue"/>
            <w:vAlign w:val="center"/>
          </w:tcPr>
          <w:p>
            <w:pPr>
              <w:autoSpaceDN w:val="0"/>
              <w:spacing w:line="320" w:lineRule="exact"/>
              <w:jc w:val="center"/>
              <w:textAlignment w:val="center"/>
              <w:rPr>
                <w:rFonts w:eastAsia="仿宋_GB2312" w:cs="仿宋_GB2312"/>
                <w:sz w:val="24"/>
              </w:rPr>
            </w:pPr>
          </w:p>
        </w:tc>
        <w:tc>
          <w:tcPr>
            <w:tcW w:w="1076"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指标3：</w:t>
            </w:r>
          </w:p>
        </w:tc>
        <w:tc>
          <w:tcPr>
            <w:tcW w:w="1449"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教师教研培训</w:t>
            </w:r>
          </w:p>
        </w:tc>
        <w:tc>
          <w:tcPr>
            <w:tcW w:w="2686" w:type="dxa"/>
            <w:gridSpan w:val="6"/>
            <w:vAlign w:val="center"/>
          </w:tcPr>
          <w:p>
            <w:pPr>
              <w:autoSpaceDN w:val="0"/>
              <w:spacing w:line="320" w:lineRule="exact"/>
              <w:jc w:val="center"/>
              <w:textAlignment w:val="center"/>
              <w:rPr>
                <w:rFonts w:eastAsia="仿宋_GB2312" w:cs="仿宋_GB2312"/>
                <w:sz w:val="24"/>
              </w:rPr>
            </w:pPr>
            <w:r>
              <w:rPr>
                <w:rFonts w:eastAsia="仿宋_GB2312" w:cs="仿宋_GB2312"/>
                <w:sz w:val="24"/>
              </w:rPr>
              <w:t>完成教师教研培训及市啦啦操骨干教师培训</w:t>
            </w:r>
            <w:r>
              <w:rPr>
                <w:rFonts w:hint="eastAsia" w:eastAsia="仿宋_GB2312" w:cs="仿宋_GB231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89" w:hRule="atLeast"/>
          <w:jc w:val="center"/>
        </w:trPr>
        <w:tc>
          <w:tcPr>
            <w:tcW w:w="1440" w:type="dxa"/>
            <w:vMerge w:val="continue"/>
            <w:vAlign w:val="center"/>
          </w:tcPr>
          <w:p>
            <w:pPr>
              <w:spacing w:line="320" w:lineRule="exact"/>
              <w:rPr>
                <w:rFonts w:eastAsia="仿宋_GB2312" w:cs="仿宋_GB2312"/>
                <w:sz w:val="24"/>
              </w:rPr>
            </w:pPr>
          </w:p>
        </w:tc>
        <w:tc>
          <w:tcPr>
            <w:tcW w:w="2015" w:type="dxa"/>
            <w:gridSpan w:val="4"/>
            <w:vMerge w:val="continue"/>
            <w:vAlign w:val="center"/>
          </w:tcPr>
          <w:p>
            <w:pPr>
              <w:autoSpaceDN w:val="0"/>
              <w:spacing w:line="320" w:lineRule="exact"/>
              <w:rPr>
                <w:rFonts w:eastAsia="仿宋_GB2312" w:cs="仿宋_GB2312"/>
                <w:sz w:val="24"/>
              </w:rPr>
            </w:pPr>
          </w:p>
        </w:tc>
        <w:tc>
          <w:tcPr>
            <w:tcW w:w="1134" w:type="dxa"/>
            <w:gridSpan w:val="2"/>
            <w:vMerge w:val="continue"/>
            <w:vAlign w:val="center"/>
          </w:tcPr>
          <w:p>
            <w:pPr>
              <w:autoSpaceDN w:val="0"/>
              <w:spacing w:line="320" w:lineRule="exact"/>
              <w:jc w:val="center"/>
              <w:textAlignment w:val="center"/>
              <w:rPr>
                <w:rFonts w:eastAsia="仿宋_GB2312" w:cs="仿宋_GB2312"/>
                <w:sz w:val="24"/>
              </w:rPr>
            </w:pPr>
          </w:p>
        </w:tc>
        <w:tc>
          <w:tcPr>
            <w:tcW w:w="1076"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eastAsia="仿宋_GB2312" w:cs="仿宋_GB2312"/>
                <w:sz w:val="24"/>
              </w:rPr>
              <w:t>指标</w:t>
            </w:r>
            <w:r>
              <w:rPr>
                <w:rFonts w:hint="eastAsia" w:eastAsia="仿宋_GB2312" w:cs="仿宋_GB2312"/>
                <w:sz w:val="24"/>
              </w:rPr>
              <w:t>4</w:t>
            </w:r>
          </w:p>
        </w:tc>
        <w:tc>
          <w:tcPr>
            <w:tcW w:w="1449"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r>
              <w:rPr>
                <w:rFonts w:eastAsia="仿宋_GB2312" w:cs="仿宋_GB2312"/>
                <w:sz w:val="24"/>
              </w:rPr>
              <w:t>部门决算信息公开</w:t>
            </w:r>
          </w:p>
        </w:tc>
        <w:tc>
          <w:tcPr>
            <w:tcW w:w="2686" w:type="dxa"/>
            <w:gridSpan w:val="6"/>
            <w:vAlign w:val="center"/>
          </w:tcPr>
          <w:p>
            <w:pPr>
              <w:autoSpaceDN w:val="0"/>
              <w:spacing w:line="320" w:lineRule="exact"/>
              <w:jc w:val="center"/>
              <w:textAlignment w:val="center"/>
              <w:rPr>
                <w:rFonts w:eastAsia="仿宋_GB2312" w:cs="仿宋_GB2312"/>
                <w:sz w:val="24"/>
              </w:rPr>
            </w:pPr>
            <w:r>
              <w:rPr>
                <w:rFonts w:eastAsia="仿宋_GB2312" w:cs="仿宋_GB2312"/>
                <w:sz w:val="24"/>
              </w:rPr>
              <w:t>按要求公开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1" w:hRule="atLeast"/>
          <w:jc w:val="center"/>
        </w:trPr>
        <w:tc>
          <w:tcPr>
            <w:tcW w:w="1440" w:type="dxa"/>
            <w:vMerge w:val="continue"/>
            <w:vAlign w:val="center"/>
          </w:tcPr>
          <w:p>
            <w:pPr>
              <w:spacing w:line="320" w:lineRule="exact"/>
              <w:rPr>
                <w:rFonts w:eastAsia="仿宋_GB2312" w:cs="仿宋_GB2312"/>
                <w:sz w:val="24"/>
              </w:rPr>
            </w:pPr>
          </w:p>
        </w:tc>
        <w:tc>
          <w:tcPr>
            <w:tcW w:w="2015" w:type="dxa"/>
            <w:gridSpan w:val="4"/>
            <w:vMerge w:val="restart"/>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效益目标</w:t>
            </w:r>
          </w:p>
          <w:p>
            <w:pPr>
              <w:autoSpaceDN w:val="0"/>
              <w:spacing w:line="320" w:lineRule="exact"/>
              <w:jc w:val="center"/>
              <w:textAlignment w:val="center"/>
              <w:rPr>
                <w:rFonts w:eastAsia="仿宋_GB2312" w:cs="仿宋_GB2312"/>
                <w:sz w:val="24"/>
              </w:rPr>
            </w:pPr>
            <w:r>
              <w:rPr>
                <w:rFonts w:hint="eastAsia" w:eastAsia="仿宋_GB2312" w:cs="仿宋_GB2312"/>
                <w:sz w:val="24"/>
              </w:rPr>
              <w:t>（预期实现的效益）</w:t>
            </w:r>
          </w:p>
        </w:tc>
        <w:tc>
          <w:tcPr>
            <w:tcW w:w="1134"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社会、经济、生态效益</w:t>
            </w:r>
          </w:p>
        </w:tc>
        <w:tc>
          <w:tcPr>
            <w:tcW w:w="1076"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指标1：</w:t>
            </w:r>
          </w:p>
          <w:p>
            <w:pPr>
              <w:autoSpaceDN w:val="0"/>
              <w:spacing w:line="320" w:lineRule="exact"/>
              <w:jc w:val="left"/>
              <w:textAlignment w:val="center"/>
              <w:rPr>
                <w:rFonts w:eastAsia="仿宋_GB2312" w:cs="仿宋_GB2312"/>
                <w:sz w:val="24"/>
              </w:rPr>
            </w:pPr>
            <w:r>
              <w:rPr>
                <w:rFonts w:hint="eastAsia" w:eastAsia="仿宋_GB2312" w:cs="仿宋_GB2312"/>
                <w:sz w:val="24"/>
              </w:rPr>
              <w:t>指标2：</w:t>
            </w:r>
          </w:p>
          <w:p>
            <w:pPr>
              <w:autoSpaceDN w:val="0"/>
              <w:spacing w:line="320" w:lineRule="exact"/>
              <w:jc w:val="left"/>
              <w:textAlignment w:val="center"/>
              <w:rPr>
                <w:rFonts w:eastAsia="仿宋_GB2312" w:cs="仿宋_GB2312"/>
                <w:sz w:val="24"/>
              </w:rPr>
            </w:pPr>
            <w:r>
              <w:rPr>
                <w:rFonts w:hint="eastAsia" w:eastAsia="仿宋_GB2312" w:cs="仿宋_GB2312"/>
                <w:sz w:val="24"/>
              </w:rPr>
              <w:t>……</w:t>
            </w:r>
          </w:p>
        </w:tc>
        <w:tc>
          <w:tcPr>
            <w:tcW w:w="1449" w:type="dxa"/>
            <w:gridSpan w:val="3"/>
            <w:tcBorders>
              <w:left w:val="single" w:color="auto" w:sz="4" w:space="0"/>
            </w:tcBorders>
            <w:vAlign w:val="center"/>
          </w:tcPr>
          <w:p>
            <w:pPr>
              <w:autoSpaceDN w:val="0"/>
              <w:spacing w:line="320" w:lineRule="exact"/>
              <w:jc w:val="left"/>
              <w:textAlignment w:val="center"/>
              <w:rPr>
                <w:rFonts w:hint="default" w:eastAsia="仿宋_GB2312" w:cs="仿宋_GB2312"/>
                <w:sz w:val="24"/>
                <w:lang w:val="en-US" w:eastAsia="zh-CN"/>
              </w:rPr>
            </w:pPr>
            <w:r>
              <w:rPr>
                <w:rFonts w:hint="eastAsia" w:eastAsia="仿宋_GB2312" w:cs="仿宋_GB2312"/>
                <w:sz w:val="24"/>
                <w:lang w:val="en-US" w:eastAsia="zh-CN"/>
              </w:rPr>
              <w:t>设备购置及时率</w:t>
            </w:r>
          </w:p>
        </w:tc>
        <w:tc>
          <w:tcPr>
            <w:tcW w:w="2686" w:type="dxa"/>
            <w:gridSpan w:val="6"/>
            <w:vAlign w:val="center"/>
          </w:tcPr>
          <w:p>
            <w:pPr>
              <w:autoSpaceDN w:val="0"/>
              <w:spacing w:line="320" w:lineRule="exact"/>
              <w:jc w:val="center"/>
              <w:textAlignment w:val="center"/>
              <w:rPr>
                <w:rFonts w:hint="default" w:eastAsia="仿宋_GB2312" w:cs="仿宋_GB2312"/>
                <w:b/>
                <w:sz w:val="24"/>
                <w:lang w:val="en-US" w:eastAsia="zh-CN"/>
              </w:rPr>
            </w:pPr>
            <w:r>
              <w:rPr>
                <w:rFonts w:hint="eastAsia" w:eastAsia="仿宋_GB2312" w:cs="仿宋_GB2312"/>
                <w:sz w:val="24"/>
                <w:lang w:val="en-US" w:eastAsia="zh-CN"/>
              </w:rPr>
              <w:t>及时添置设备，不影响教学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16" w:hRule="atLeast"/>
          <w:jc w:val="center"/>
        </w:trPr>
        <w:tc>
          <w:tcPr>
            <w:tcW w:w="1440" w:type="dxa"/>
            <w:vMerge w:val="continue"/>
            <w:vAlign w:val="center"/>
          </w:tcPr>
          <w:p>
            <w:pPr>
              <w:spacing w:line="320" w:lineRule="exact"/>
              <w:rPr>
                <w:rFonts w:eastAsia="仿宋_GB2312" w:cs="仿宋_GB2312"/>
                <w:sz w:val="24"/>
              </w:rPr>
            </w:pPr>
          </w:p>
        </w:tc>
        <w:tc>
          <w:tcPr>
            <w:tcW w:w="2015" w:type="dxa"/>
            <w:gridSpan w:val="4"/>
            <w:vMerge w:val="continue"/>
            <w:vAlign w:val="center"/>
          </w:tcPr>
          <w:p>
            <w:pPr>
              <w:autoSpaceDN w:val="0"/>
              <w:spacing w:line="320" w:lineRule="exact"/>
              <w:rPr>
                <w:rFonts w:eastAsia="仿宋_GB2312" w:cs="仿宋_GB2312"/>
                <w:sz w:val="24"/>
              </w:rPr>
            </w:pPr>
          </w:p>
        </w:tc>
        <w:tc>
          <w:tcPr>
            <w:tcW w:w="1134"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社会公众或服务对象满意度</w:t>
            </w:r>
          </w:p>
        </w:tc>
        <w:tc>
          <w:tcPr>
            <w:tcW w:w="1076" w:type="dxa"/>
            <w:tcBorders>
              <w:righ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指标1：</w:t>
            </w:r>
          </w:p>
          <w:p>
            <w:pPr>
              <w:autoSpaceDN w:val="0"/>
              <w:spacing w:line="320" w:lineRule="exact"/>
              <w:jc w:val="left"/>
              <w:textAlignment w:val="center"/>
              <w:rPr>
                <w:rFonts w:eastAsia="仿宋_GB2312" w:cs="仿宋_GB2312"/>
                <w:sz w:val="24"/>
              </w:rPr>
            </w:pPr>
            <w:r>
              <w:rPr>
                <w:rFonts w:hint="eastAsia" w:eastAsia="仿宋_GB2312" w:cs="仿宋_GB2312"/>
                <w:sz w:val="24"/>
              </w:rPr>
              <w:t>指标2：</w:t>
            </w:r>
          </w:p>
        </w:tc>
        <w:tc>
          <w:tcPr>
            <w:tcW w:w="1449" w:type="dxa"/>
            <w:gridSpan w:val="3"/>
            <w:tcBorders>
              <w:left w:val="single" w:color="auto" w:sz="4" w:space="0"/>
            </w:tcBorders>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学员和教职工满意率</w:t>
            </w:r>
          </w:p>
        </w:tc>
        <w:tc>
          <w:tcPr>
            <w:tcW w:w="2686" w:type="dxa"/>
            <w:gridSpan w:val="6"/>
            <w:vAlign w:val="center"/>
          </w:tcPr>
          <w:p>
            <w:pPr>
              <w:autoSpaceDN w:val="0"/>
              <w:spacing w:line="320" w:lineRule="exact"/>
              <w:jc w:val="center"/>
              <w:textAlignment w:val="center"/>
              <w:rPr>
                <w:rFonts w:eastAsia="仿宋_GB2312" w:cs="仿宋_GB2312"/>
                <w:b/>
                <w:sz w:val="24"/>
              </w:rPr>
            </w:pPr>
            <w:r>
              <w:rPr>
                <w:rFonts w:hint="eastAsia" w:eastAsia="仿宋_GB2312" w:cs="仿宋_GB2312"/>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42" w:hRule="atLeast"/>
          <w:jc w:val="center"/>
        </w:trPr>
        <w:tc>
          <w:tcPr>
            <w:tcW w:w="3455" w:type="dxa"/>
            <w:gridSpan w:val="5"/>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绩效自评综合得分及评价等次</w:t>
            </w:r>
          </w:p>
        </w:tc>
        <w:tc>
          <w:tcPr>
            <w:tcW w:w="6345" w:type="dxa"/>
            <w:gridSpan w:val="12"/>
            <w:vAlign w:val="center"/>
          </w:tcPr>
          <w:p>
            <w:pPr>
              <w:spacing w:line="320" w:lineRule="exact"/>
              <w:ind w:firstLine="630" w:firstLineChars="300"/>
              <w:rPr>
                <w:rFonts w:eastAsia="楷体_GB2312"/>
              </w:rPr>
            </w:pPr>
            <w:r>
              <w:rPr>
                <w:rFonts w:hint="eastAsia" w:eastAsia="楷体_GB2312"/>
              </w:rPr>
              <w:t xml:space="preserve">评分：  </w:t>
            </w:r>
            <w:r>
              <w:rPr>
                <w:rFonts w:hint="eastAsia" w:eastAsia="楷体_GB2312"/>
                <w:lang w:val="en-US" w:eastAsia="zh-CN"/>
              </w:rPr>
              <w:t>100</w:t>
            </w:r>
            <w:r>
              <w:rPr>
                <w:rFonts w:hint="eastAsia" w:eastAsia="楷体_GB2312"/>
              </w:rPr>
              <w:t xml:space="preserve">                         等级：优</w:t>
            </w:r>
          </w:p>
          <w:p>
            <w:pPr>
              <w:autoSpaceDN w:val="0"/>
              <w:spacing w:line="320" w:lineRule="exact"/>
              <w:jc w:val="left"/>
              <w:textAlignment w:val="center"/>
              <w:rPr>
                <w:rFonts w:ascii="TimesNewRoman" w:hAnsi="TimesNewRoman"/>
                <w:szCs w:val="21"/>
              </w:rPr>
            </w:pPr>
          </w:p>
          <w:p>
            <w:pPr>
              <w:autoSpaceDN w:val="0"/>
              <w:spacing w:line="320" w:lineRule="exact"/>
              <w:jc w:val="left"/>
              <w:textAlignment w:val="center"/>
              <w:rPr>
                <w:rFonts w:eastAsia="仿宋_GB2312" w:cs="仿宋_GB2312"/>
                <w:sz w:val="24"/>
              </w:rPr>
            </w:pPr>
            <w:r>
              <w:rPr>
                <w:rFonts w:hint="eastAsia" w:ascii="TimesNewRoman" w:hAnsi="TimesNewRoman"/>
                <w:szCs w:val="21"/>
              </w:rPr>
              <w:t>备注：</w:t>
            </w:r>
            <w:r>
              <w:rPr>
                <w:rFonts w:ascii="TimesNewRoman" w:hAnsi="TimesNewRoman"/>
                <w:szCs w:val="21"/>
              </w:rPr>
              <w:t>90</w:t>
            </w:r>
            <w:r>
              <w:rPr>
                <w:rFonts w:hint="eastAsia" w:ascii="仿宋_GB2312" w:eastAsia="仿宋_GB2312"/>
                <w:szCs w:val="21"/>
              </w:rPr>
              <w:t>（含）—</w:t>
            </w:r>
            <w:r>
              <w:rPr>
                <w:rFonts w:ascii="TimesNewRoman" w:hAnsi="TimesNewRoman"/>
                <w:szCs w:val="21"/>
              </w:rPr>
              <w:t>100</w:t>
            </w:r>
            <w:r>
              <w:rPr>
                <w:rFonts w:hint="eastAsia" w:ascii="仿宋_GB2312" w:eastAsia="仿宋_GB2312"/>
                <w:szCs w:val="21"/>
              </w:rPr>
              <w:t>分为优；</w:t>
            </w:r>
            <w:r>
              <w:rPr>
                <w:rFonts w:ascii="TimesNewRoman" w:hAnsi="TimesNewRoman"/>
                <w:szCs w:val="21"/>
              </w:rPr>
              <w:t>80</w:t>
            </w:r>
            <w:r>
              <w:rPr>
                <w:rFonts w:hint="eastAsia" w:ascii="仿宋_GB2312" w:eastAsia="仿宋_GB2312"/>
                <w:szCs w:val="21"/>
              </w:rPr>
              <w:t>（含）—</w:t>
            </w:r>
            <w:r>
              <w:rPr>
                <w:rFonts w:ascii="TimesNewRoman" w:hAnsi="TimesNewRoman"/>
                <w:szCs w:val="21"/>
              </w:rPr>
              <w:t>90</w:t>
            </w:r>
            <w:r>
              <w:rPr>
                <w:rFonts w:hint="eastAsia" w:ascii="仿宋_GB2312" w:eastAsia="仿宋_GB2312"/>
                <w:szCs w:val="21"/>
              </w:rPr>
              <w:t>分为良；</w:t>
            </w:r>
            <w:r>
              <w:rPr>
                <w:rFonts w:ascii="TimesNewRoman" w:hAnsi="TimesNewRoman"/>
                <w:szCs w:val="21"/>
              </w:rPr>
              <w:t xml:space="preserve"> 60</w:t>
            </w:r>
            <w:r>
              <w:rPr>
                <w:rFonts w:hint="eastAsia" w:ascii="仿宋_GB2312" w:eastAsia="仿宋_GB2312"/>
                <w:szCs w:val="21"/>
              </w:rPr>
              <w:t>（含）—</w:t>
            </w:r>
            <w:r>
              <w:rPr>
                <w:rFonts w:ascii="TimesNewRoman" w:hAnsi="TimesNewRoman"/>
                <w:szCs w:val="21"/>
              </w:rPr>
              <w:t>80</w:t>
            </w:r>
            <w:r>
              <w:rPr>
                <w:rFonts w:hint="eastAsia" w:ascii="仿宋_GB2312" w:eastAsia="仿宋_GB2312"/>
                <w:szCs w:val="21"/>
              </w:rPr>
              <w:t xml:space="preserve"> 分为较差；</w:t>
            </w:r>
            <w:r>
              <w:rPr>
                <w:rFonts w:ascii="TimesNewRoman" w:hAnsi="TimesNewRoman"/>
                <w:szCs w:val="21"/>
              </w:rPr>
              <w:t>60</w:t>
            </w:r>
            <w:r>
              <w:rPr>
                <w:rFonts w:hint="eastAsia" w:ascii="仿宋_GB2312" w:eastAsia="仿宋_GB2312"/>
                <w:szCs w:val="21"/>
              </w:rPr>
              <w:t>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89" w:hRule="atLeast"/>
          <w:jc w:val="center"/>
        </w:trPr>
        <w:tc>
          <w:tcPr>
            <w:tcW w:w="9800" w:type="dxa"/>
            <w:gridSpan w:val="17"/>
            <w:vAlign w:val="center"/>
          </w:tcPr>
          <w:p>
            <w:pPr>
              <w:autoSpaceDN w:val="0"/>
              <w:spacing w:line="320" w:lineRule="exact"/>
              <w:jc w:val="center"/>
              <w:textAlignment w:val="center"/>
              <w:rPr>
                <w:rFonts w:eastAsia="仿宋_GB2312" w:cs="仿宋_GB2312"/>
                <w:sz w:val="24"/>
              </w:rPr>
            </w:pPr>
            <w:r>
              <w:rPr>
                <w:rFonts w:hint="eastAsia" w:eastAsia="黑体" w:cs="黑体"/>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1"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姓  名</w:t>
            </w:r>
          </w:p>
        </w:tc>
        <w:tc>
          <w:tcPr>
            <w:tcW w:w="4013" w:type="dxa"/>
            <w:gridSpan w:val="6"/>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职务/职称</w:t>
            </w:r>
          </w:p>
        </w:tc>
        <w:tc>
          <w:tcPr>
            <w:tcW w:w="1029" w:type="dxa"/>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单  位</w:t>
            </w:r>
          </w:p>
        </w:tc>
        <w:tc>
          <w:tcPr>
            <w:tcW w:w="3106" w:type="dxa"/>
            <w:gridSpan w:val="8"/>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3" w:hRule="atLeast"/>
          <w:jc w:val="center"/>
        </w:trPr>
        <w:tc>
          <w:tcPr>
            <w:tcW w:w="1652" w:type="dxa"/>
            <w:gridSpan w:val="2"/>
            <w:vAlign w:val="center"/>
          </w:tcPr>
          <w:p>
            <w:pPr>
              <w:autoSpaceDN w:val="0"/>
              <w:spacing w:line="320" w:lineRule="exact"/>
              <w:textAlignment w:val="center"/>
              <w:rPr>
                <w:rFonts w:eastAsia="仿宋_GB2312" w:cs="仿宋_GB2312"/>
                <w:sz w:val="24"/>
              </w:rPr>
            </w:pPr>
          </w:p>
        </w:tc>
        <w:tc>
          <w:tcPr>
            <w:tcW w:w="4013" w:type="dxa"/>
            <w:gridSpan w:val="6"/>
            <w:vAlign w:val="center"/>
          </w:tcPr>
          <w:p>
            <w:pPr>
              <w:autoSpaceDN w:val="0"/>
              <w:spacing w:line="320" w:lineRule="exact"/>
              <w:jc w:val="center"/>
              <w:textAlignment w:val="center"/>
              <w:rPr>
                <w:rFonts w:eastAsia="仿宋_GB2312" w:cs="仿宋_GB2312"/>
                <w:sz w:val="24"/>
              </w:rPr>
            </w:pPr>
          </w:p>
        </w:tc>
        <w:tc>
          <w:tcPr>
            <w:tcW w:w="1029" w:type="dxa"/>
            <w:vAlign w:val="center"/>
          </w:tcPr>
          <w:p>
            <w:pPr>
              <w:autoSpaceDN w:val="0"/>
              <w:spacing w:line="320" w:lineRule="exact"/>
              <w:textAlignment w:val="center"/>
              <w:rPr>
                <w:rFonts w:eastAsia="仿宋_GB2312" w:cs="仿宋_GB2312"/>
                <w:sz w:val="24"/>
              </w:rPr>
            </w:pPr>
          </w:p>
        </w:tc>
        <w:tc>
          <w:tcPr>
            <w:tcW w:w="3106" w:type="dxa"/>
            <w:gridSpan w:val="8"/>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3" w:hRule="atLeast"/>
          <w:jc w:val="center"/>
        </w:trPr>
        <w:tc>
          <w:tcPr>
            <w:tcW w:w="1652" w:type="dxa"/>
            <w:gridSpan w:val="2"/>
            <w:vAlign w:val="center"/>
          </w:tcPr>
          <w:p>
            <w:pPr>
              <w:autoSpaceDN w:val="0"/>
              <w:spacing w:line="320" w:lineRule="exact"/>
              <w:jc w:val="center"/>
              <w:textAlignment w:val="center"/>
              <w:rPr>
                <w:rFonts w:eastAsia="仿宋_GB2312" w:cs="仿宋_GB2312"/>
                <w:sz w:val="24"/>
              </w:rPr>
            </w:pPr>
          </w:p>
        </w:tc>
        <w:tc>
          <w:tcPr>
            <w:tcW w:w="4013" w:type="dxa"/>
            <w:gridSpan w:val="6"/>
            <w:vAlign w:val="center"/>
          </w:tcPr>
          <w:p>
            <w:pPr>
              <w:autoSpaceDN w:val="0"/>
              <w:spacing w:line="320" w:lineRule="exact"/>
              <w:jc w:val="center"/>
              <w:textAlignment w:val="center"/>
              <w:rPr>
                <w:rFonts w:eastAsia="仿宋_GB2312" w:cs="仿宋_GB2312"/>
                <w:sz w:val="24"/>
              </w:rPr>
            </w:pPr>
          </w:p>
        </w:tc>
        <w:tc>
          <w:tcPr>
            <w:tcW w:w="1029" w:type="dxa"/>
            <w:vAlign w:val="center"/>
          </w:tcPr>
          <w:p>
            <w:pPr>
              <w:autoSpaceDN w:val="0"/>
              <w:spacing w:line="320" w:lineRule="exact"/>
              <w:jc w:val="center"/>
              <w:textAlignment w:val="center"/>
              <w:rPr>
                <w:rFonts w:eastAsia="仿宋_GB2312" w:cs="仿宋_GB2312"/>
                <w:sz w:val="24"/>
              </w:rPr>
            </w:pPr>
          </w:p>
        </w:tc>
        <w:tc>
          <w:tcPr>
            <w:tcW w:w="3106" w:type="dxa"/>
            <w:gridSpan w:val="8"/>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76" w:hRule="atLeast"/>
          <w:jc w:val="center"/>
        </w:trPr>
        <w:tc>
          <w:tcPr>
            <w:tcW w:w="9800" w:type="dxa"/>
            <w:gridSpan w:val="17"/>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评价组组长签署意见：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ind w:firstLine="5760" w:firstLineChars="2400"/>
              <w:jc w:val="left"/>
              <w:textAlignment w:val="center"/>
              <w:rPr>
                <w:rFonts w:eastAsia="仿宋_GB2312" w:cs="仿宋_GB2312"/>
                <w:sz w:val="24"/>
              </w:rPr>
            </w:pPr>
            <w:r>
              <w:rPr>
                <w:rFonts w:hint="eastAsia" w:eastAsia="仿宋_GB2312" w:cs="仿宋_GB2312"/>
                <w:sz w:val="24"/>
              </w:rPr>
              <w:t>评价组组长（签字）：</w:t>
            </w: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53" w:hRule="atLeast"/>
          <w:jc w:val="center"/>
        </w:trPr>
        <w:tc>
          <w:tcPr>
            <w:tcW w:w="9800" w:type="dxa"/>
            <w:gridSpan w:val="17"/>
            <w:vAlign w:val="center"/>
          </w:tcPr>
          <w:p>
            <w:pPr>
              <w:autoSpaceDN w:val="0"/>
              <w:spacing w:line="320" w:lineRule="exact"/>
              <w:jc w:val="left"/>
              <w:textAlignment w:val="center"/>
              <w:rPr>
                <w:rFonts w:eastAsia="仿宋_GB2312" w:cs="仿宋_GB2312"/>
                <w:sz w:val="24"/>
              </w:rPr>
            </w:pPr>
            <w:r>
              <w:rPr>
                <w:rFonts w:hint="eastAsia" w:eastAsia="仿宋_GB2312" w:cs="仿宋_GB2312"/>
                <w:sz w:val="24"/>
              </w:rPr>
              <w:t>部门（单位）意见：</w:t>
            </w: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部门（单位）负责人（签字）：                部门（单位）（盖章）：</w:t>
            </w:r>
          </w:p>
          <w:p>
            <w:pPr>
              <w:autoSpaceDN w:val="0"/>
              <w:spacing w:line="320" w:lineRule="exact"/>
              <w:jc w:val="left"/>
              <w:textAlignment w:val="center"/>
              <w:rPr>
                <w:rFonts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财政部门归口业务股室意见：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财政部门归口业务股室负责人（签字）：         财政部门归口业务股室（盖章）：</w:t>
            </w:r>
          </w:p>
          <w:p>
            <w:pPr>
              <w:autoSpaceDN w:val="0"/>
              <w:spacing w:line="320" w:lineRule="exact"/>
              <w:ind w:firstLine="7680" w:firstLineChars="3200"/>
              <w:jc w:val="left"/>
              <w:textAlignment w:val="center"/>
              <w:rPr>
                <w:rFonts w:eastAsia="仿宋_GB2312" w:cs="仿宋_GB2312"/>
                <w:sz w:val="24"/>
              </w:rPr>
            </w:pPr>
            <w:r>
              <w:rPr>
                <w:rFonts w:hint="eastAsia" w:eastAsia="仿宋_GB2312"/>
                <w:sz w:val="24"/>
              </w:rPr>
              <w:t>年    月   日</w:t>
            </w:r>
          </w:p>
        </w:tc>
      </w:tr>
    </w:tbl>
    <w:p>
      <w:pPr>
        <w:rPr>
          <w:vanish/>
        </w:rPr>
      </w:pPr>
    </w:p>
    <w:tbl>
      <w:tblPr>
        <w:tblStyle w:val="6"/>
        <w:tblpPr w:leftFromText="180" w:rightFromText="180" w:vertAnchor="text" w:tblpX="10483" w:tblpY="-32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46" w:type="dxa"/>
          </w:tcPr>
          <w:p>
            <w:pPr>
              <w:spacing w:line="560" w:lineRule="exact"/>
              <w:jc w:val="center"/>
              <w:rPr>
                <w:rFonts w:eastAsia="方正小标宋_GBK"/>
                <w:sz w:val="36"/>
                <w:szCs w:val="36"/>
              </w:rPr>
            </w:pPr>
          </w:p>
        </w:tc>
      </w:tr>
    </w:tbl>
    <w:p>
      <w:pPr>
        <w:spacing w:line="560" w:lineRule="exact"/>
        <w:rPr>
          <w:rFonts w:eastAsia="方正小标宋_GBK"/>
          <w:sz w:val="36"/>
          <w:szCs w:val="36"/>
        </w:rPr>
        <w:sectPr>
          <w:pgSz w:w="11906" w:h="16838"/>
          <w:pgMar w:top="2098" w:right="1531" w:bottom="1984" w:left="1531" w:header="851" w:footer="1417" w:gutter="0"/>
          <w:pgNumType w:fmt="numberInDash"/>
          <w:cols w:space="0" w:num="1"/>
          <w:docGrid w:type="lines" w:linePitch="312" w:charSpace="0"/>
        </w:sectPr>
      </w:pPr>
    </w:p>
    <w:p>
      <w:pPr>
        <w:spacing w:line="560" w:lineRule="exact"/>
        <w:jc w:val="center"/>
        <w:rPr>
          <w:rFonts w:eastAsia="方正小标宋简体" w:cs="Arial"/>
          <w:bCs/>
          <w:sz w:val="44"/>
          <w:szCs w:val="44"/>
        </w:rPr>
      </w:pPr>
      <w:r>
        <w:rPr>
          <w:rFonts w:hint="eastAsia" w:eastAsia="方正小标宋简体" w:cs="Arial"/>
          <w:bCs/>
          <w:sz w:val="44"/>
          <w:szCs w:val="44"/>
        </w:rPr>
        <w:t>部门整体支出绩效评价报告</w:t>
      </w:r>
    </w:p>
    <w:p>
      <w:pPr>
        <w:spacing w:line="560" w:lineRule="exact"/>
        <w:ind w:firstLine="640" w:firstLineChars="200"/>
        <w:jc w:val="center"/>
        <w:rPr>
          <w:rFonts w:eastAsia="楷体_GB2312"/>
          <w:sz w:val="32"/>
          <w:szCs w:val="32"/>
        </w:rPr>
      </w:pPr>
    </w:p>
    <w:p>
      <w:pPr>
        <w:spacing w:line="560" w:lineRule="exact"/>
        <w:ind w:firstLine="640" w:firstLineChars="200"/>
        <w:jc w:val="center"/>
        <w:rPr>
          <w:rFonts w:eastAsia="楷体_GB2312"/>
          <w:sz w:val="32"/>
          <w:szCs w:val="32"/>
        </w:rPr>
      </w:pPr>
    </w:p>
    <w:p>
      <w:pPr>
        <w:spacing w:line="560" w:lineRule="exact"/>
        <w:ind w:firstLine="640" w:firstLineChars="200"/>
        <w:rPr>
          <w:rFonts w:eastAsia="黑体"/>
          <w:sz w:val="32"/>
          <w:szCs w:val="32"/>
        </w:rPr>
      </w:pPr>
      <w:r>
        <w:rPr>
          <w:rFonts w:eastAsia="黑体"/>
          <w:sz w:val="32"/>
          <w:szCs w:val="32"/>
        </w:rPr>
        <w:t>一、基本情况</w:t>
      </w:r>
    </w:p>
    <w:p>
      <w:pPr>
        <w:spacing w:line="560" w:lineRule="exact"/>
        <w:ind w:firstLine="640" w:firstLineChars="200"/>
        <w:rPr>
          <w:rFonts w:cs="宋体"/>
          <w:sz w:val="32"/>
          <w:szCs w:val="32"/>
        </w:rPr>
      </w:pPr>
      <w:r>
        <w:rPr>
          <w:rFonts w:eastAsia="楷体_GB2312"/>
          <w:sz w:val="32"/>
          <w:szCs w:val="32"/>
        </w:rPr>
        <w:t>（一）部门（单位）基本情</w:t>
      </w:r>
      <w:r>
        <w:rPr>
          <w:rFonts w:hint="eastAsia" w:cs="宋体"/>
          <w:sz w:val="32"/>
          <w:szCs w:val="32"/>
        </w:rPr>
        <w:t>况</w:t>
      </w:r>
    </w:p>
    <w:p>
      <w:pPr>
        <w:pStyle w:val="2"/>
        <w:ind w:firstLine="840" w:firstLineChars="300"/>
        <w:rPr>
          <w:rFonts w:ascii="仿宋_GB2312" w:hAnsi="仿宋_GB2312" w:eastAsia="仿宋_GB2312" w:cs="仿宋_GB2312"/>
          <w:sz w:val="32"/>
          <w:szCs w:val="32"/>
        </w:rPr>
      </w:pPr>
      <w:r>
        <w:rPr>
          <w:rFonts w:ascii="仿宋" w:hAnsi="仿宋" w:eastAsia="仿宋" w:cs="华文仿宋"/>
          <w:snapToGrid w:val="0"/>
          <w:color w:val="000000"/>
          <w:sz w:val="28"/>
          <w:szCs w:val="28"/>
          <w:shd w:val="clear" w:color="auto" w:fill="FFFFFF"/>
        </w:rPr>
        <w:t>吉首市第七初级中学2022年8月成立，为市教育和体育局所属股级全额拨款事业单位（公益一类），主要职责是实施中学义务教育</w:t>
      </w:r>
      <w:r>
        <w:rPr>
          <w:rFonts w:hint="eastAsia" w:ascii="仿宋" w:hAnsi="仿宋" w:eastAsia="仿宋" w:cs="华文仿宋"/>
          <w:snapToGrid w:val="0"/>
          <w:color w:val="000000"/>
          <w:sz w:val="28"/>
          <w:szCs w:val="28"/>
          <w:shd w:val="clear" w:color="auto" w:fill="FFFFFF"/>
        </w:rPr>
        <w:t>。</w:t>
      </w:r>
      <w:r>
        <w:rPr>
          <w:rFonts w:ascii="仿宋" w:hAnsi="仿宋" w:eastAsia="仿宋" w:cs="华文仿宋"/>
          <w:snapToGrid w:val="0"/>
          <w:color w:val="000000"/>
          <w:sz w:val="28"/>
          <w:szCs w:val="28"/>
          <w:shd w:val="clear" w:color="auto" w:fill="FFFFFF"/>
        </w:rPr>
        <w:t>学校内设校长室、副校长室、办公室、财务室、总务处、教务处、德育处、广播室、医务室、心理咨询室等处室，202</w:t>
      </w:r>
      <w:r>
        <w:rPr>
          <w:rFonts w:hint="eastAsia" w:ascii="仿宋" w:hAnsi="仿宋" w:eastAsia="仿宋" w:cs="华文仿宋"/>
          <w:snapToGrid w:val="0"/>
          <w:color w:val="000000"/>
          <w:sz w:val="28"/>
          <w:szCs w:val="28"/>
          <w:shd w:val="clear" w:color="auto" w:fill="FFFFFF"/>
          <w:lang w:val="en-US" w:eastAsia="zh-CN"/>
        </w:rPr>
        <w:t>3</w:t>
      </w:r>
      <w:r>
        <w:rPr>
          <w:rFonts w:ascii="仿宋" w:hAnsi="仿宋" w:eastAsia="仿宋" w:cs="华文仿宋"/>
          <w:snapToGrid w:val="0"/>
          <w:color w:val="000000"/>
          <w:sz w:val="28"/>
          <w:szCs w:val="28"/>
          <w:shd w:val="clear" w:color="auto" w:fill="FFFFFF"/>
        </w:rPr>
        <w:t>年末在编1</w:t>
      </w:r>
      <w:r>
        <w:rPr>
          <w:rFonts w:hint="eastAsia" w:ascii="仿宋" w:hAnsi="仿宋" w:eastAsia="仿宋" w:cs="华文仿宋"/>
          <w:snapToGrid w:val="0"/>
          <w:color w:val="000000"/>
          <w:sz w:val="28"/>
          <w:szCs w:val="28"/>
          <w:shd w:val="clear" w:color="auto" w:fill="FFFFFF"/>
          <w:lang w:val="en-US" w:eastAsia="zh-CN"/>
        </w:rPr>
        <w:t>60</w:t>
      </w:r>
      <w:r>
        <w:rPr>
          <w:rFonts w:ascii="仿宋" w:hAnsi="仿宋" w:eastAsia="仿宋" w:cs="华文仿宋"/>
          <w:snapToGrid w:val="0"/>
          <w:color w:val="000000"/>
          <w:sz w:val="28"/>
          <w:szCs w:val="28"/>
          <w:shd w:val="clear" w:color="auto" w:fill="FFFFFF"/>
        </w:rPr>
        <w:t>人。</w:t>
      </w:r>
    </w:p>
    <w:p>
      <w:pPr>
        <w:spacing w:line="560" w:lineRule="exact"/>
        <w:ind w:firstLine="640" w:firstLineChars="200"/>
        <w:rPr>
          <w:rFonts w:eastAsia="楷体_GB2312"/>
          <w:sz w:val="32"/>
          <w:szCs w:val="32"/>
        </w:rPr>
      </w:pPr>
      <w:r>
        <w:rPr>
          <w:rFonts w:hint="eastAsia" w:eastAsia="楷体_GB2312"/>
          <w:sz w:val="32"/>
          <w:szCs w:val="32"/>
        </w:rPr>
        <w:t>（二）</w:t>
      </w:r>
      <w:r>
        <w:rPr>
          <w:rFonts w:eastAsia="楷体_GB2312"/>
          <w:sz w:val="32"/>
          <w:szCs w:val="32"/>
        </w:rPr>
        <w:t>部门（单位）年度整体支出绩效目标，</w:t>
      </w:r>
      <w:r>
        <w:rPr>
          <w:rFonts w:hint="eastAsia" w:eastAsia="楷体_GB2312"/>
          <w:sz w:val="32"/>
          <w:szCs w:val="32"/>
        </w:rPr>
        <w:t>市</w:t>
      </w:r>
      <w:r>
        <w:rPr>
          <w:rFonts w:eastAsia="楷体_GB2312"/>
          <w:sz w:val="32"/>
          <w:szCs w:val="32"/>
        </w:rPr>
        <w:t>级专项资金绩效目标</w:t>
      </w:r>
    </w:p>
    <w:p>
      <w:pPr>
        <w:spacing w:line="560" w:lineRule="exact"/>
        <w:ind w:firstLine="560" w:firstLineChars="200"/>
        <w:rPr>
          <w:rFonts w:ascii="仿宋" w:hAnsi="仿宋" w:eastAsia="仿宋" w:cs="仿宋_GB2312"/>
          <w:sz w:val="28"/>
          <w:szCs w:val="28"/>
        </w:rPr>
      </w:pPr>
      <w:r>
        <w:rPr>
          <w:rFonts w:ascii="仿宋" w:hAnsi="仿宋" w:eastAsia="仿宋" w:cs="仿宋_GB2312"/>
          <w:sz w:val="28"/>
          <w:szCs w:val="28"/>
        </w:rPr>
        <w:t>为了保障我校日常工作正常运转，</w:t>
      </w:r>
      <w:r>
        <w:rPr>
          <w:rFonts w:hint="eastAsia" w:ascii="仿宋" w:hAnsi="仿宋" w:eastAsia="仿宋" w:cs="仿宋_GB2312"/>
          <w:sz w:val="28"/>
          <w:szCs w:val="28"/>
        </w:rPr>
        <w:t>202</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年度部门整体支出绩效</w:t>
      </w:r>
      <w:r>
        <w:rPr>
          <w:rFonts w:hint="eastAsia" w:ascii="仿宋" w:hAnsi="仿宋" w:eastAsia="仿宋" w:cs="仿宋_GB2312"/>
          <w:sz w:val="28"/>
          <w:szCs w:val="28"/>
          <w:lang w:val="en-US" w:eastAsia="zh-CN"/>
        </w:rPr>
        <w:t>2705.83</w:t>
      </w:r>
      <w:r>
        <w:rPr>
          <w:rFonts w:hint="eastAsia" w:ascii="仿宋" w:hAnsi="仿宋" w:eastAsia="仿宋" w:cs="仿宋_GB2312"/>
          <w:sz w:val="28"/>
          <w:szCs w:val="28"/>
        </w:rPr>
        <w:t>万元。</w:t>
      </w:r>
    </w:p>
    <w:p>
      <w:pPr>
        <w:spacing w:line="560" w:lineRule="exact"/>
        <w:ind w:firstLine="640" w:firstLineChars="200"/>
        <w:rPr>
          <w:rFonts w:eastAsia="黑体"/>
          <w:sz w:val="32"/>
          <w:szCs w:val="32"/>
        </w:rPr>
      </w:pPr>
      <w:r>
        <w:rPr>
          <w:rFonts w:eastAsia="黑体"/>
          <w:sz w:val="32"/>
          <w:szCs w:val="32"/>
        </w:rPr>
        <w:t>二、一般公共预算支出情况</w:t>
      </w:r>
    </w:p>
    <w:p>
      <w:pPr>
        <w:spacing w:line="560" w:lineRule="exact"/>
        <w:ind w:firstLine="640" w:firstLineChars="200"/>
        <w:rPr>
          <w:rFonts w:cs="宋体"/>
          <w:sz w:val="32"/>
          <w:szCs w:val="32"/>
        </w:rPr>
      </w:pPr>
      <w:r>
        <w:rPr>
          <w:rFonts w:eastAsia="楷体_GB2312"/>
          <w:sz w:val="32"/>
          <w:szCs w:val="32"/>
        </w:rPr>
        <w:t>（一）基本支出情</w:t>
      </w:r>
      <w:r>
        <w:rPr>
          <w:rFonts w:hint="eastAsia" w:cs="宋体"/>
          <w:sz w:val="32"/>
          <w:szCs w:val="32"/>
        </w:rPr>
        <w:t>况</w:t>
      </w:r>
    </w:p>
    <w:p>
      <w:pPr>
        <w:spacing w:line="560" w:lineRule="exact"/>
        <w:ind w:firstLine="560" w:firstLineChars="200"/>
        <w:rPr>
          <w:rFonts w:ascii="仿宋" w:hAnsi="仿宋" w:eastAsia="仿宋" w:cs="仿宋_GB2312"/>
          <w:sz w:val="28"/>
          <w:szCs w:val="28"/>
        </w:rPr>
      </w:pPr>
      <w:r>
        <w:rPr>
          <w:rFonts w:ascii="仿宋" w:hAnsi="仿宋" w:eastAsia="仿宋" w:cs="仿宋_GB2312"/>
          <w:sz w:val="28"/>
          <w:szCs w:val="28"/>
        </w:rPr>
        <w:t>为了保障我校日常工作正常运转，</w:t>
      </w:r>
      <w:r>
        <w:rPr>
          <w:rFonts w:hint="eastAsia" w:ascii="仿宋" w:hAnsi="仿宋" w:eastAsia="仿宋" w:cs="仿宋_GB2312"/>
          <w:sz w:val="28"/>
          <w:szCs w:val="28"/>
        </w:rPr>
        <w:t>202</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年度部门整体支出绩效</w:t>
      </w:r>
      <w:r>
        <w:rPr>
          <w:rFonts w:hint="eastAsia" w:ascii="仿宋" w:hAnsi="仿宋" w:eastAsia="仿宋"/>
          <w:sz w:val="28"/>
          <w:szCs w:val="28"/>
          <w:lang w:val="en-US" w:eastAsia="zh-CN"/>
        </w:rPr>
        <w:t>2705.83</w:t>
      </w:r>
      <w:r>
        <w:rPr>
          <w:rFonts w:hint="eastAsia" w:ascii="仿宋" w:hAnsi="仿宋" w:eastAsia="仿宋" w:cs="仿宋_GB2312"/>
          <w:sz w:val="28"/>
          <w:szCs w:val="28"/>
        </w:rPr>
        <w:t>万元。</w:t>
      </w:r>
      <w:r>
        <w:rPr>
          <w:rFonts w:ascii="仿宋" w:hAnsi="仿宋" w:eastAsia="仿宋"/>
          <w:sz w:val="28"/>
          <w:szCs w:val="28"/>
        </w:rPr>
        <w:t>人员经费支出</w:t>
      </w:r>
      <w:r>
        <w:rPr>
          <w:rFonts w:hint="eastAsia" w:ascii="仿宋" w:hAnsi="仿宋" w:eastAsia="仿宋"/>
          <w:sz w:val="28"/>
          <w:szCs w:val="28"/>
        </w:rPr>
        <w:t>：</w:t>
      </w:r>
      <w:r>
        <w:rPr>
          <w:rFonts w:hint="eastAsia" w:ascii="仿宋" w:hAnsi="仿宋" w:eastAsia="仿宋"/>
          <w:sz w:val="28"/>
          <w:szCs w:val="28"/>
          <w:lang w:val="en-US" w:eastAsia="zh-CN"/>
        </w:rPr>
        <w:t>2061.43</w:t>
      </w:r>
      <w:r>
        <w:rPr>
          <w:rFonts w:hint="eastAsia" w:ascii="仿宋" w:hAnsi="仿宋" w:eastAsia="仿宋"/>
          <w:sz w:val="28"/>
          <w:szCs w:val="28"/>
        </w:rPr>
        <w:t>万元（</w:t>
      </w:r>
      <w:r>
        <w:rPr>
          <w:rFonts w:ascii="仿宋" w:hAnsi="仿宋" w:eastAsia="仿宋"/>
          <w:sz w:val="28"/>
          <w:szCs w:val="28"/>
        </w:rPr>
        <w:t>含基本工资、津贴补贴、奖励性绩效工资</w:t>
      </w:r>
      <w:r>
        <w:rPr>
          <w:rFonts w:hint="eastAsia" w:ascii="仿宋" w:hAnsi="仿宋" w:eastAsia="仿宋"/>
          <w:sz w:val="28"/>
          <w:szCs w:val="28"/>
        </w:rPr>
        <w:t>、</w:t>
      </w:r>
      <w:r>
        <w:rPr>
          <w:rFonts w:ascii="仿宋" w:hAnsi="仿宋" w:eastAsia="仿宋"/>
          <w:sz w:val="28"/>
          <w:szCs w:val="28"/>
        </w:rPr>
        <w:t>绩效工资、职工基本医疗保险、医疗补助缴费、其他社会保障缴费、机关事业单位基本养老保险缴费、职业年金</w:t>
      </w:r>
      <w:r>
        <w:rPr>
          <w:rFonts w:hint="eastAsia" w:ascii="仿宋" w:hAnsi="仿宋" w:eastAsia="仿宋"/>
          <w:sz w:val="28"/>
          <w:szCs w:val="28"/>
        </w:rPr>
        <w:t>），公用经费支出：</w:t>
      </w:r>
      <w:r>
        <w:rPr>
          <w:rFonts w:hint="eastAsia" w:ascii="仿宋" w:hAnsi="仿宋" w:eastAsia="仿宋"/>
          <w:sz w:val="28"/>
          <w:szCs w:val="28"/>
          <w:lang w:val="en-US" w:eastAsia="zh-CN"/>
        </w:rPr>
        <w:t>306.3</w:t>
      </w:r>
      <w:r>
        <w:rPr>
          <w:rFonts w:hint="eastAsia" w:ascii="仿宋" w:hAnsi="仿宋" w:eastAsia="仿宋"/>
          <w:sz w:val="28"/>
          <w:szCs w:val="28"/>
        </w:rPr>
        <w:t>万元（</w:t>
      </w:r>
      <w:r>
        <w:rPr>
          <w:rFonts w:hint="eastAsia" w:ascii="仿宋" w:hAnsi="仿宋" w:eastAsia="仿宋" w:cs="宋体"/>
          <w:sz w:val="28"/>
          <w:szCs w:val="28"/>
        </w:rPr>
        <w:t>含办公费，水费及电费，维修（护）费，培训费，专用材料费，劳务费，工会经费，咨询费，印刷费，其他商品服务支出等</w:t>
      </w:r>
      <w:r>
        <w:rPr>
          <w:rFonts w:hint="eastAsia" w:ascii="仿宋" w:hAnsi="仿宋" w:eastAsia="仿宋"/>
          <w:sz w:val="28"/>
          <w:szCs w:val="28"/>
        </w:rPr>
        <w:t>）</w:t>
      </w:r>
      <w:r>
        <w:rPr>
          <w:rFonts w:ascii="仿宋" w:hAnsi="仿宋" w:eastAsia="仿宋"/>
          <w:sz w:val="28"/>
          <w:szCs w:val="28"/>
        </w:rPr>
        <w:t>。</w:t>
      </w:r>
    </w:p>
    <w:p>
      <w:pPr>
        <w:spacing w:line="560" w:lineRule="exact"/>
        <w:ind w:firstLine="320" w:firstLineChars="100"/>
        <w:rPr>
          <w:rFonts w:cs="宋体"/>
          <w:sz w:val="32"/>
          <w:szCs w:val="32"/>
        </w:rPr>
      </w:pPr>
      <w:r>
        <w:rPr>
          <w:rFonts w:hint="eastAsia" w:cs="宋体"/>
          <w:sz w:val="32"/>
          <w:szCs w:val="32"/>
        </w:rPr>
        <w:t>（二）</w:t>
      </w:r>
      <w:r>
        <w:rPr>
          <w:rFonts w:eastAsia="楷体_GB2312"/>
          <w:sz w:val="32"/>
          <w:szCs w:val="32"/>
        </w:rPr>
        <w:t>项目支出情</w:t>
      </w:r>
      <w:r>
        <w:rPr>
          <w:rFonts w:hint="eastAsia" w:cs="宋体"/>
          <w:sz w:val="32"/>
          <w:szCs w:val="32"/>
        </w:rPr>
        <w:t>况</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年本部门项目支出</w:t>
      </w:r>
      <w:r>
        <w:rPr>
          <w:rFonts w:hint="eastAsia" w:ascii="仿宋" w:hAnsi="仿宋" w:eastAsia="仿宋"/>
          <w:sz w:val="28"/>
          <w:szCs w:val="28"/>
          <w:lang w:val="en-US" w:eastAsia="zh-CN"/>
        </w:rPr>
        <w:t>338.1万元。</w:t>
      </w:r>
    </w:p>
    <w:p>
      <w:pPr>
        <w:widowControl/>
        <w:kinsoku w:val="0"/>
        <w:autoSpaceDE w:val="0"/>
        <w:autoSpaceDN w:val="0"/>
        <w:adjustRightInd w:val="0"/>
        <w:snapToGrid w:val="0"/>
        <w:spacing w:line="560" w:lineRule="exact"/>
        <w:ind w:firstLine="640" w:firstLineChars="200"/>
        <w:jc w:val="left"/>
        <w:textAlignment w:val="baseline"/>
        <w:rPr>
          <w:rFonts w:eastAsia="黑体"/>
          <w:sz w:val="32"/>
          <w:szCs w:val="32"/>
        </w:rPr>
      </w:pPr>
      <w:r>
        <w:rPr>
          <w:rFonts w:hint="eastAsia" w:eastAsia="黑体"/>
          <w:sz w:val="32"/>
          <w:szCs w:val="32"/>
        </w:rPr>
        <w:t>三、</w:t>
      </w:r>
      <w:r>
        <w:rPr>
          <w:rFonts w:eastAsia="黑体"/>
          <w:sz w:val="32"/>
          <w:szCs w:val="32"/>
        </w:rPr>
        <w:t>政府性基金预算支出情况</w:t>
      </w:r>
    </w:p>
    <w:p>
      <w:pPr>
        <w:widowControl/>
        <w:kinsoku w:val="0"/>
        <w:autoSpaceDE w:val="0"/>
        <w:autoSpaceDN w:val="0"/>
        <w:adjustRightInd w:val="0"/>
        <w:snapToGrid w:val="0"/>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年本部门无政府性基金预算支出</w:t>
      </w:r>
    </w:p>
    <w:p>
      <w:pPr>
        <w:spacing w:line="560" w:lineRule="exact"/>
        <w:ind w:firstLine="640" w:firstLineChars="200"/>
        <w:rPr>
          <w:rFonts w:eastAsia="黑体"/>
          <w:sz w:val="32"/>
          <w:szCs w:val="32"/>
        </w:rPr>
      </w:pPr>
      <w:r>
        <w:rPr>
          <w:rFonts w:hint="eastAsia" w:eastAsia="黑体"/>
          <w:sz w:val="32"/>
          <w:szCs w:val="32"/>
        </w:rPr>
        <w:t>四、</w:t>
      </w:r>
      <w:r>
        <w:rPr>
          <w:rFonts w:eastAsia="黑体"/>
          <w:sz w:val="32"/>
          <w:szCs w:val="32"/>
        </w:rPr>
        <w:t>国有资本经营预算支出情况</w:t>
      </w:r>
    </w:p>
    <w:p>
      <w:pPr>
        <w:widowControl/>
        <w:kinsoku w:val="0"/>
        <w:autoSpaceDE w:val="0"/>
        <w:autoSpaceDN w:val="0"/>
        <w:adjustRightInd w:val="0"/>
        <w:snapToGrid w:val="0"/>
        <w:spacing w:line="560" w:lineRule="exac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年本部门无国有资本经营预算支出</w:t>
      </w:r>
    </w:p>
    <w:p>
      <w:pPr>
        <w:spacing w:line="560" w:lineRule="exact"/>
        <w:ind w:firstLine="640" w:firstLineChars="200"/>
        <w:rPr>
          <w:rFonts w:eastAsia="黑体"/>
          <w:sz w:val="32"/>
          <w:szCs w:val="32"/>
        </w:rPr>
      </w:pPr>
      <w:r>
        <w:rPr>
          <w:rFonts w:hint="eastAsia" w:eastAsia="黑体"/>
          <w:sz w:val="32"/>
          <w:szCs w:val="32"/>
        </w:rPr>
        <w:t>五、</w:t>
      </w:r>
      <w:r>
        <w:rPr>
          <w:rFonts w:eastAsia="黑体"/>
          <w:sz w:val="32"/>
          <w:szCs w:val="32"/>
        </w:rPr>
        <w:t>社会保险基金预算支出情况</w:t>
      </w:r>
    </w:p>
    <w:p>
      <w:pPr>
        <w:widowControl/>
        <w:kinsoku w:val="0"/>
        <w:autoSpaceDE w:val="0"/>
        <w:autoSpaceDN w:val="0"/>
        <w:adjustRightInd w:val="0"/>
        <w:snapToGrid w:val="0"/>
        <w:spacing w:line="560" w:lineRule="exact"/>
        <w:ind w:firstLine="640"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年本部门无社会保险基金预算支出</w:t>
      </w:r>
    </w:p>
    <w:p>
      <w:pPr>
        <w:spacing w:line="560" w:lineRule="exact"/>
        <w:ind w:firstLine="640" w:firstLineChars="200"/>
        <w:rPr>
          <w:rFonts w:eastAsia="黑体"/>
          <w:sz w:val="32"/>
          <w:szCs w:val="32"/>
        </w:rPr>
      </w:pPr>
      <w:r>
        <w:rPr>
          <w:rFonts w:eastAsia="黑体"/>
          <w:sz w:val="32"/>
          <w:szCs w:val="32"/>
        </w:rPr>
        <w:t>六、部门整体支出绩效情况</w:t>
      </w:r>
    </w:p>
    <w:p>
      <w:pPr>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学校始终以提升教育教学质量和促进教育内涵发展为中心。我们实现了观念突破和管理突破，并落实了安全保障、质量提升、“双减”三大重点。经过一年的努力，我校在教育教学、管理以及学生活动等方面均取得了显著的成效。</w:t>
      </w:r>
    </w:p>
    <w:p>
      <w:pPr>
        <w:spacing w:line="5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（一）、聚焦党建引领，促进学校工作提质增效</w:t>
      </w:r>
    </w:p>
    <w:p>
      <w:pPr>
        <w:spacing w:line="276" w:lineRule="auto"/>
        <w:ind w:firstLine="560" w:firstLineChars="200"/>
        <w:rPr>
          <w:rFonts w:ascii="仿宋" w:hAnsi="仿宋" w:eastAsia="仿宋" w:cs="仿宋"/>
          <w:sz w:val="28"/>
          <w:szCs w:val="28"/>
        </w:rPr>
      </w:pPr>
      <w:r>
        <w:rPr>
          <w:rFonts w:hint="eastAsia" w:ascii="仿宋" w:hAnsi="仿宋" w:eastAsia="仿宋" w:cs="仿宋"/>
          <w:sz w:val="28"/>
          <w:szCs w:val="28"/>
        </w:rPr>
        <w:t>坚持以习近平新时代中国特色社会主义思想为指引,学习宣传贯彻十九届六中全会精神和党的二十大精神，弘扬伟大建党精神，推动党史学习教育常态化长效化，开展习近平总书记系列重要讲话重要指示精神专题学习。定期召开党员大会、党支部、党小组会，积极开展组内学习、网上学习、重温入党誓词、写工作反思和学习心得。自觉践行社会主义核心价值观，进一步树牢“四个意识”，坚定“四个自信”，做到“两个维护”，坚定信仰，勇于担当，大力促进学校发展。</w:t>
      </w:r>
    </w:p>
    <w:p>
      <w:pPr>
        <w:spacing w:line="276"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（二）、教研路上寻芬芳，共研共思共成长</w:t>
      </w:r>
    </w:p>
    <w:p>
      <w:pPr>
        <w:spacing w:line="276" w:lineRule="auto"/>
        <w:ind w:firstLine="602" w:firstLineChars="200"/>
        <w:rPr>
          <w:rFonts w:ascii="仿宋" w:hAnsi="仿宋" w:eastAsia="仿宋" w:cs="仿宋"/>
          <w:b/>
          <w:bCs/>
          <w:sz w:val="30"/>
          <w:szCs w:val="30"/>
        </w:rPr>
      </w:pPr>
    </w:p>
    <w:p>
      <w:pPr>
        <w:spacing w:line="27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在教育教学工作中，我校始终坚持以教育教学为中心，注重培养学生的综合素质。我们通过优化课程设置、加强课堂教学管理、开展丰富多彩的课外活动等方式，提高了教育教学质量。</w:t>
      </w:r>
    </w:p>
    <w:p>
      <w:pPr>
        <w:spacing w:line="276" w:lineRule="auto"/>
        <w:ind w:firstLine="560" w:firstLineChars="200"/>
        <w:rPr>
          <w:rFonts w:ascii="仿宋" w:hAnsi="仿宋" w:eastAsia="仿宋" w:cs="仿宋"/>
          <w:sz w:val="24"/>
          <w:szCs w:val="24"/>
        </w:rPr>
      </w:pPr>
      <w:r>
        <w:rPr>
          <w:rFonts w:hint="eastAsia" w:ascii="仿宋" w:hAnsi="仿宋" w:eastAsia="仿宋" w:cs="仿宋"/>
          <w:sz w:val="28"/>
          <w:szCs w:val="28"/>
        </w:rPr>
        <w:t>为了提高教学质量，我们加强了教师培训和教研活动。我们组织教师参加各种培训课程和研讨会，学习新的教学理念和方法。同时，我们还开展了公开课、观摩课、研讨会等活动，促进了教师之间的交流与合作，提高了教师的专业素养。</w:t>
      </w:r>
    </w:p>
    <w:p>
      <w:pPr>
        <w:spacing w:line="276"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（三）、重视安全教育，积极创建平安校园</w:t>
      </w:r>
    </w:p>
    <w:p>
      <w:pPr>
        <w:spacing w:line="276" w:lineRule="auto"/>
        <w:ind w:firstLine="700" w:firstLineChars="250"/>
        <w:rPr>
          <w:rFonts w:ascii="仿宋" w:hAnsi="仿宋" w:eastAsia="仿宋"/>
          <w:sz w:val="28"/>
          <w:szCs w:val="28"/>
        </w:rPr>
      </w:pPr>
      <w:r>
        <w:rPr>
          <w:rFonts w:hint="eastAsia" w:ascii="仿宋" w:hAnsi="仿宋" w:eastAsia="仿宋"/>
          <w:sz w:val="28"/>
          <w:szCs w:val="28"/>
        </w:rPr>
        <w:t>学校完善落实了各种安全制度及安全责任制。充分利用法制教育进校园、文明志愿者行动、国旗下讲话、班会课、广播站、黑板报、家长会、班级微信群、给家长的一封信等形式，宣传学习交通安全、防溺水、防校园欺凌、防性侵、防踩踏、防食物中毒、反邪教、预防各种传染病，组织开展了“守护花蕾 关爱女生”女生自我防护暨心理健康教育专题讲座、“关爱明天 普法先行”青少年普法教育、“珍惜生命 拒绝毒品 人人遵循 从我做起”禁毒知识进校园暨签名活动、“崇尚科学 拒绝邪教”教育活动及应急疏散、反恐防暴应急演练活动，对学生进行安全教育和心理健康教育，全面增强学生的安全意识，提升学生的安全防范能力。定期开展校园安全隐患排查，有效消除各种安全隐患。全年学校无重大安全责任事故。</w:t>
      </w:r>
    </w:p>
    <w:p>
      <w:pPr>
        <w:spacing w:line="276" w:lineRule="auto"/>
        <w:ind w:firstLine="602" w:firstLineChars="200"/>
        <w:rPr>
          <w:rFonts w:hint="eastAsia" w:ascii="仿宋" w:hAnsi="仿宋" w:eastAsia="仿宋" w:cs="仿宋"/>
          <w:sz w:val="28"/>
          <w:szCs w:val="28"/>
        </w:rPr>
      </w:pPr>
      <w:r>
        <w:rPr>
          <w:rFonts w:hint="eastAsia" w:ascii="仿宋" w:hAnsi="仿宋" w:eastAsia="仿宋" w:cs="仿宋"/>
          <w:b/>
          <w:bCs/>
          <w:sz w:val="30"/>
          <w:szCs w:val="30"/>
        </w:rPr>
        <w:t>（四）、减负提质，促进教育优质均衡发展</w:t>
      </w:r>
    </w:p>
    <w:p>
      <w:pPr>
        <w:spacing w:line="27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在“双减”政策的推动下，我们学校积极采取措施，减轻学生的课业负担，提高课堂教学质量，推动教育优质均衡发展。我们制定了详细的工作方案，明确了责任和分工，确保“双减”政策得到有效落实。</w:t>
      </w:r>
    </w:p>
    <w:p>
      <w:pPr>
        <w:spacing w:line="27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了更好地推进“双减”工作，我们加强了与家长的沟通和联系，引导家长树立正确的教育观念，减轻学生的课外负担。同时，我们还开展了丰富多彩的课外活动，让学生在轻松愉快的氛围中成长。我们注重学生的全面发展，通过开设艺术、体育、劳技等方面的课程，培养学生的兴趣爱好和综合素质。</w:t>
      </w:r>
    </w:p>
    <w:p>
      <w:pPr>
        <w:spacing w:line="27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国家义务教育质量监测工作中，我们学校将其视为推动优质教育均衡发展的核心动力。我们按照计划逐步完成了各项任务，建立了详细的责任分工制度，确保了工作的顺利进行。同时，我们重视国家义务教育质量监测的反馈问题，按照台账计划逐步销号，为优质教育均衡发展奠定了坚实基础。</w:t>
      </w:r>
    </w:p>
    <w:p>
      <w:pPr>
        <w:spacing w:line="276" w:lineRule="auto"/>
        <w:ind w:firstLine="602" w:firstLineChars="200"/>
        <w:rPr>
          <w:rFonts w:ascii="仿宋" w:hAnsi="仿宋" w:eastAsia="仿宋" w:cs="仿宋"/>
          <w:b/>
          <w:bCs/>
          <w:sz w:val="30"/>
          <w:szCs w:val="30"/>
        </w:rPr>
      </w:pPr>
      <w:r>
        <w:rPr>
          <w:rFonts w:hint="eastAsia" w:ascii="仿宋" w:hAnsi="仿宋" w:eastAsia="仿宋" w:cs="仿宋"/>
          <w:b/>
          <w:bCs/>
          <w:sz w:val="30"/>
          <w:szCs w:val="30"/>
        </w:rPr>
        <w:t>（五）、未雨绸缪思后期，全心全意提服务</w:t>
      </w:r>
    </w:p>
    <w:p>
      <w:pPr>
        <w:spacing w:line="27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后勤服务方面，我校注重加强基础设施建设和服务质量提升。我们加强了校园环境的整治和绿化工作，为师生提供了舒适的学习和生活环境。同时，我们还加强了食堂、宿舍等后勤服务的管理工作，确保了师生饮食和住宿的安全和舒适。</w:t>
      </w:r>
    </w:p>
    <w:p>
      <w:pPr>
        <w:spacing w:line="276" w:lineRule="auto"/>
        <w:ind w:firstLine="560" w:firstLineChars="200"/>
        <w:rPr>
          <w:rFonts w:ascii="仿宋_GB2312" w:hAnsi="仿宋_GB2312" w:eastAsia="仿宋_GB2312" w:cs="仿宋_GB2312"/>
          <w:sz w:val="28"/>
          <w:szCs w:val="28"/>
        </w:rPr>
      </w:pPr>
      <w:r>
        <w:rPr>
          <w:rFonts w:hint="eastAsia" w:ascii="仿宋" w:hAnsi="仿宋" w:eastAsia="仿宋" w:cs="仿宋"/>
          <w:sz w:val="28"/>
          <w:szCs w:val="28"/>
        </w:rPr>
        <w:t>为了提高服务质量，我们加强了员工培训和管理。我们定期组织员工参加培训课程，提高员工的服务意识和技能水平。同时，我们还建立了完善的服务质量管理体系，定期对后勤服务进行评估和改进，确保服务质量的不断提升。</w:t>
      </w:r>
    </w:p>
    <w:p>
      <w:pPr>
        <w:spacing w:line="560" w:lineRule="exact"/>
        <w:ind w:firstLine="480" w:firstLineChars="150"/>
        <w:jc w:val="left"/>
        <w:rPr>
          <w:rFonts w:ascii="黑体" w:hAnsi="黑体" w:eastAsia="黑体"/>
          <w:sz w:val="32"/>
          <w:szCs w:val="32"/>
        </w:rPr>
      </w:pPr>
      <w:r>
        <w:rPr>
          <w:rFonts w:eastAsia="黑体"/>
          <w:sz w:val="32"/>
          <w:szCs w:val="32"/>
        </w:rPr>
        <w:t>七、</w:t>
      </w:r>
      <w:r>
        <w:rPr>
          <w:rFonts w:hint="eastAsia" w:ascii="黑体" w:hAnsi="黑体" w:eastAsia="黑体"/>
          <w:sz w:val="32"/>
          <w:szCs w:val="32"/>
        </w:rPr>
        <w:t>综合评价情况及评价结论</w:t>
      </w:r>
    </w:p>
    <w:p>
      <w:pPr>
        <w:pStyle w:val="8"/>
        <w:spacing w:line="560" w:lineRule="exact"/>
        <w:ind w:left="105" w:leftChars="50" w:firstLine="560"/>
        <w:jc w:val="left"/>
        <w:rPr>
          <w:rFonts w:ascii="仿宋" w:hAnsi="仿宋" w:eastAsia="仿宋" w:cs="宋体"/>
          <w:sz w:val="28"/>
          <w:szCs w:val="28"/>
        </w:rPr>
      </w:pPr>
      <w:r>
        <w:rPr>
          <w:rFonts w:hint="eastAsia" w:ascii="仿宋" w:hAnsi="仿宋" w:eastAsia="仿宋" w:cs="宋体"/>
          <w:sz w:val="28"/>
          <w:szCs w:val="28"/>
        </w:rPr>
        <w:t>我单位结合202</w:t>
      </w:r>
      <w:r>
        <w:rPr>
          <w:rFonts w:hint="eastAsia" w:ascii="仿宋" w:hAnsi="仿宋" w:eastAsia="仿宋" w:cs="宋体"/>
          <w:sz w:val="28"/>
          <w:szCs w:val="28"/>
          <w:lang w:val="en-US" w:eastAsia="zh-CN"/>
        </w:rPr>
        <w:t>3</w:t>
      </w:r>
      <w:r>
        <w:rPr>
          <w:rFonts w:hint="eastAsia" w:ascii="仿宋" w:hAnsi="仿宋" w:eastAsia="仿宋" w:cs="宋体"/>
          <w:sz w:val="28"/>
          <w:szCs w:val="28"/>
        </w:rPr>
        <w:t>年度中各项工作的开展情况积极进行了部门整体绩效评价，成立了整体绩效评价工作小组，确定了评价的内容及范围，相关基本情况如下：</w:t>
      </w:r>
    </w:p>
    <w:p>
      <w:pPr>
        <w:pStyle w:val="8"/>
        <w:spacing w:line="560" w:lineRule="exact"/>
        <w:ind w:left="720" w:firstLine="0" w:firstLineChars="0"/>
        <w:jc w:val="left"/>
        <w:rPr>
          <w:rFonts w:ascii="仿宋" w:hAnsi="仿宋" w:eastAsia="仿宋" w:cs="宋体"/>
          <w:sz w:val="28"/>
          <w:szCs w:val="28"/>
        </w:rPr>
      </w:pPr>
      <w:r>
        <w:rPr>
          <w:rFonts w:hint="eastAsia" w:ascii="仿宋" w:hAnsi="仿宋" w:eastAsia="仿宋" w:cs="宋体"/>
          <w:sz w:val="28"/>
          <w:szCs w:val="28"/>
        </w:rPr>
        <w:t>1、成立部门整体绩效评价工作领导小组：</w:t>
      </w:r>
    </w:p>
    <w:p>
      <w:pPr>
        <w:pStyle w:val="8"/>
        <w:spacing w:line="560" w:lineRule="exact"/>
        <w:ind w:left="720" w:firstLine="0" w:firstLineChars="0"/>
        <w:jc w:val="left"/>
        <w:rPr>
          <w:rFonts w:ascii="仿宋" w:hAnsi="仿宋" w:eastAsia="仿宋" w:cs="宋体"/>
          <w:sz w:val="28"/>
          <w:szCs w:val="28"/>
        </w:rPr>
      </w:pPr>
      <w:r>
        <w:rPr>
          <w:rFonts w:hint="eastAsia" w:ascii="仿宋" w:hAnsi="仿宋" w:eastAsia="仿宋" w:cs="宋体"/>
          <w:sz w:val="28"/>
          <w:szCs w:val="28"/>
        </w:rPr>
        <w:t xml:space="preserve">组  长：龚向忠   副组长：何艳红  符金刚  </w:t>
      </w:r>
    </w:p>
    <w:p>
      <w:pPr>
        <w:pStyle w:val="8"/>
        <w:spacing w:line="560" w:lineRule="exact"/>
        <w:ind w:left="1838" w:leftChars="342" w:hanging="1120" w:hangingChars="400"/>
        <w:jc w:val="left"/>
        <w:rPr>
          <w:rFonts w:ascii="仿宋" w:hAnsi="仿宋" w:eastAsia="仿宋" w:cs="宋体"/>
          <w:sz w:val="28"/>
          <w:szCs w:val="28"/>
        </w:rPr>
      </w:pPr>
      <w:r>
        <w:rPr>
          <w:rFonts w:hint="eastAsia" w:ascii="仿宋" w:hAnsi="仿宋" w:eastAsia="仿宋" w:cs="宋体"/>
          <w:sz w:val="28"/>
          <w:szCs w:val="28"/>
        </w:rPr>
        <w:t xml:space="preserve">成  员：彭瑞林 陈卫 戴朝勇 </w:t>
      </w:r>
    </w:p>
    <w:p>
      <w:pPr>
        <w:pStyle w:val="8"/>
        <w:spacing w:line="276" w:lineRule="auto"/>
        <w:ind w:left="720" w:firstLine="0" w:firstLineChars="0"/>
        <w:jc w:val="left"/>
        <w:rPr>
          <w:rFonts w:ascii="仿宋" w:hAnsi="仿宋" w:eastAsia="仿宋" w:cs="宋体"/>
          <w:sz w:val="28"/>
          <w:szCs w:val="28"/>
        </w:rPr>
      </w:pPr>
      <w:r>
        <w:rPr>
          <w:rFonts w:hint="eastAsia" w:ascii="仿宋" w:hAnsi="仿宋" w:eastAsia="仿宋" w:cs="宋体"/>
          <w:sz w:val="28"/>
          <w:szCs w:val="28"/>
        </w:rPr>
        <w:t>部门整体绩效评价工作开展情况及结论</w:t>
      </w:r>
    </w:p>
    <w:p>
      <w:pPr>
        <w:spacing w:line="276" w:lineRule="auto"/>
        <w:ind w:firstLine="700" w:firstLineChars="250"/>
        <w:jc w:val="left"/>
        <w:rPr>
          <w:rFonts w:ascii="仿宋_GB2312" w:hAnsi="仿宋_GB2312" w:eastAsia="仿宋_GB2312" w:cs="仿宋_GB2312"/>
          <w:sz w:val="32"/>
          <w:szCs w:val="32"/>
        </w:rPr>
      </w:pPr>
      <w:r>
        <w:rPr>
          <w:rFonts w:hint="eastAsia" w:ascii="仿宋" w:hAnsi="仿宋" w:eastAsia="仿宋" w:cs="宋体"/>
          <w:sz w:val="28"/>
          <w:szCs w:val="28"/>
        </w:rPr>
        <w:t>我单位接到上级财政部门相关通知后，积极成立工作小组，制定相关评价的内容及范围，层层落实责任，严格按照上级部门的评价要求并结合我校实际情况开展自评工作，并对相关评价内容的真实性、合法性等情况通过组织座谈、填写调查问卷等多种形式进行积极调查。通过积极开展评价，形成了最终的评价结论：评价得分为</w:t>
      </w:r>
      <w:r>
        <w:rPr>
          <w:rFonts w:hint="eastAsia" w:ascii="仿宋" w:hAnsi="仿宋" w:eastAsia="仿宋"/>
          <w:sz w:val="28"/>
          <w:szCs w:val="28"/>
          <w:lang w:val="en-US" w:eastAsia="zh-CN"/>
        </w:rPr>
        <w:t>100</w:t>
      </w:r>
      <w:r>
        <w:rPr>
          <w:rFonts w:hint="eastAsia" w:ascii="仿宋" w:hAnsi="仿宋" w:eastAsia="仿宋" w:cs="宋体"/>
          <w:sz w:val="28"/>
          <w:szCs w:val="28"/>
        </w:rPr>
        <w:t>分，评价结论为优。</w:t>
      </w:r>
    </w:p>
    <w:p>
      <w:pPr>
        <w:numPr>
          <w:ilvl w:val="0"/>
          <w:numId w:val="2"/>
        </w:numPr>
        <w:adjustRightInd w:val="0"/>
        <w:snapToGrid w:val="0"/>
        <w:spacing w:line="560" w:lineRule="exact"/>
        <w:ind w:firstLine="640" w:firstLineChars="200"/>
        <w:rPr>
          <w:rFonts w:eastAsia="黑体"/>
          <w:sz w:val="32"/>
          <w:szCs w:val="32"/>
        </w:rPr>
      </w:pPr>
      <w:r>
        <w:rPr>
          <w:rFonts w:eastAsia="黑体"/>
          <w:sz w:val="32"/>
          <w:szCs w:val="32"/>
        </w:rPr>
        <w:t>主要经验做法、存在的问题及原因分析</w:t>
      </w:r>
    </w:p>
    <w:p>
      <w:pPr>
        <w:spacing w:line="360" w:lineRule="auto"/>
        <w:ind w:firstLine="280" w:firstLineChars="100"/>
        <w:jc w:val="left"/>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仿宋"/>
          <w:spacing w:val="-11"/>
          <w:sz w:val="28"/>
          <w:szCs w:val="28"/>
        </w:rPr>
        <w:t>根据《湖南省财政厅关于</w:t>
      </w:r>
      <w:r>
        <w:rPr>
          <w:rFonts w:ascii="仿宋" w:hAnsi="仿宋" w:eastAsia="仿宋" w:cs="仿宋"/>
          <w:spacing w:val="-12"/>
          <w:sz w:val="28"/>
          <w:szCs w:val="28"/>
        </w:rPr>
        <w:t>印发〈湖南省预算</w:t>
      </w:r>
      <w:r>
        <w:rPr>
          <w:rFonts w:ascii="仿宋" w:hAnsi="仿宋" w:eastAsia="仿宋" w:cs="仿宋"/>
          <w:sz w:val="28"/>
          <w:szCs w:val="28"/>
        </w:rPr>
        <w:t xml:space="preserve"> </w:t>
      </w:r>
      <w:r>
        <w:rPr>
          <w:rFonts w:ascii="仿宋" w:hAnsi="仿宋" w:eastAsia="仿宋" w:cs="仿宋"/>
          <w:spacing w:val="-5"/>
          <w:sz w:val="28"/>
          <w:szCs w:val="28"/>
        </w:rPr>
        <w:t>支出绩效评价管理办法〉的通知》(湘财绩〔2020〕7号)和《吉</w:t>
      </w:r>
      <w:r>
        <w:rPr>
          <w:rFonts w:ascii="仿宋" w:hAnsi="仿宋" w:eastAsia="仿宋" w:cs="仿宋"/>
          <w:spacing w:val="8"/>
          <w:sz w:val="28"/>
          <w:szCs w:val="28"/>
        </w:rPr>
        <w:t xml:space="preserve"> </w:t>
      </w:r>
      <w:r>
        <w:rPr>
          <w:rFonts w:ascii="仿宋" w:hAnsi="仿宋" w:eastAsia="仿宋" w:cs="仿宋"/>
          <w:spacing w:val="-12"/>
          <w:sz w:val="28"/>
          <w:szCs w:val="28"/>
        </w:rPr>
        <w:t>首市本级预算部门整体支出绩效自评操作规程》(吉财绩〔2021〕</w:t>
      </w:r>
      <w:r>
        <w:rPr>
          <w:rFonts w:ascii="仿宋" w:hAnsi="仿宋" w:eastAsia="仿宋" w:cs="仿宋"/>
          <w:spacing w:val="11"/>
          <w:sz w:val="28"/>
          <w:szCs w:val="28"/>
        </w:rPr>
        <w:t xml:space="preserve"> </w:t>
      </w:r>
      <w:r>
        <w:rPr>
          <w:rFonts w:ascii="仿宋" w:hAnsi="仿宋" w:eastAsia="仿宋" w:cs="仿宋"/>
          <w:spacing w:val="-3"/>
          <w:sz w:val="28"/>
          <w:szCs w:val="28"/>
        </w:rPr>
        <w:t>23号)等文件精神</w:t>
      </w:r>
      <w:r>
        <w:rPr>
          <w:rFonts w:hint="eastAsia" w:ascii="仿宋" w:hAnsi="仿宋" w:eastAsia="仿宋" w:cs="宋体"/>
          <w:sz w:val="28"/>
          <w:szCs w:val="28"/>
        </w:rPr>
        <w:t>，我单位召开相关人员专题会议，确定评价内容、评价小组成员。</w:t>
      </w:r>
    </w:p>
    <w:p>
      <w:pPr>
        <w:spacing w:line="360" w:lineRule="auto"/>
        <w:ind w:firstLine="280" w:firstLineChars="100"/>
        <w:jc w:val="left"/>
        <w:rPr>
          <w:rFonts w:ascii="仿宋" w:hAnsi="仿宋" w:eastAsia="仿宋" w:cs="宋体"/>
          <w:sz w:val="28"/>
          <w:szCs w:val="28"/>
        </w:rPr>
      </w:pPr>
      <w:r>
        <w:rPr>
          <w:rFonts w:hint="eastAsia" w:ascii="仿宋" w:hAnsi="仿宋" w:eastAsia="仿宋" w:cs="宋体"/>
          <w:sz w:val="28"/>
          <w:szCs w:val="28"/>
        </w:rPr>
        <w:t>（2）综合分析并形成评价结论；</w:t>
      </w:r>
    </w:p>
    <w:p>
      <w:pPr>
        <w:spacing w:line="360" w:lineRule="auto"/>
        <w:ind w:firstLine="482"/>
        <w:jc w:val="left"/>
        <w:rPr>
          <w:rFonts w:ascii="仿宋_GB2312" w:hAnsi="仿宋_GB2312" w:eastAsia="仿宋_GB2312" w:cs="仿宋_GB2312"/>
          <w:sz w:val="32"/>
          <w:szCs w:val="32"/>
        </w:rPr>
      </w:pPr>
      <w:r>
        <w:rPr>
          <w:rFonts w:hint="eastAsia" w:ascii="仿宋" w:hAnsi="仿宋" w:eastAsia="仿宋" w:cs="宋体"/>
          <w:sz w:val="28"/>
          <w:szCs w:val="28"/>
        </w:rPr>
        <w:t>通过审计支出费用，收集资料，问卷调查和多次信息反馈，确认了整体支出绩效指标评分，并对各项指标数据进行认真核准，最终形成整体支出评价结论。</w:t>
      </w:r>
    </w:p>
    <w:p>
      <w:pPr>
        <w:numPr>
          <w:ilvl w:val="0"/>
          <w:numId w:val="2"/>
        </w:numPr>
        <w:adjustRightInd w:val="0"/>
        <w:snapToGrid w:val="0"/>
        <w:spacing w:line="560" w:lineRule="exact"/>
        <w:ind w:firstLine="640" w:firstLineChars="200"/>
        <w:rPr>
          <w:rFonts w:eastAsia="黑体"/>
          <w:sz w:val="32"/>
          <w:szCs w:val="32"/>
        </w:rPr>
      </w:pPr>
      <w:r>
        <w:rPr>
          <w:rFonts w:eastAsia="黑体"/>
          <w:sz w:val="32"/>
          <w:szCs w:val="32"/>
        </w:rPr>
        <w:t>有关建议</w:t>
      </w:r>
    </w:p>
    <w:p>
      <w:pPr>
        <w:pStyle w:val="4"/>
        <w:spacing w:line="560" w:lineRule="exact"/>
        <w:ind w:firstLine="640" w:firstLineChars="200"/>
        <w:rPr>
          <w:rFonts w:ascii="仿宋_GB2312" w:hAnsi="仿宋_GB2312" w:eastAsia="仿宋_GB2312" w:cs="仿宋_GB2312"/>
          <w:sz w:val="28"/>
          <w:szCs w:val="28"/>
        </w:rPr>
      </w:pPr>
      <w:r>
        <w:rPr>
          <w:rFonts w:hint="eastAsia" w:ascii="仿宋_GB2312" w:hAnsi="仿宋_GB2312" w:eastAsia="仿宋_GB2312" w:cs="仿宋_GB2312"/>
          <w:sz w:val="32"/>
          <w:szCs w:val="32"/>
        </w:rPr>
        <w:t>（</w:t>
      </w:r>
      <w:r>
        <w:rPr>
          <w:rFonts w:hint="eastAsia" w:ascii="仿宋_GB2312" w:hAnsi="仿宋_GB2312" w:eastAsia="仿宋_GB2312" w:cs="仿宋_GB2312"/>
          <w:sz w:val="28"/>
          <w:szCs w:val="28"/>
        </w:rPr>
        <w:t>一）</w:t>
      </w:r>
      <w:r>
        <w:rPr>
          <w:rFonts w:hint="eastAsia" w:ascii="仿宋_GB2312" w:hAnsi="仿宋_GB2312" w:eastAsia="仿宋_GB2312" w:cs="仿宋_GB2312"/>
          <w:bCs/>
          <w:sz w:val="28"/>
          <w:szCs w:val="28"/>
        </w:rPr>
        <w:t>进一步</w:t>
      </w:r>
      <w:r>
        <w:rPr>
          <w:rFonts w:hint="eastAsia" w:ascii="仿宋_GB2312" w:eastAsia="仿宋_GB2312"/>
          <w:spacing w:val="-2"/>
          <w:sz w:val="28"/>
          <w:szCs w:val="28"/>
        </w:rPr>
        <w:t>规范财政资金管理，强化</w:t>
      </w:r>
      <w:r>
        <w:rPr>
          <w:rFonts w:hint="eastAsia" w:eastAsia="仿宋_GB2312"/>
          <w:sz w:val="28"/>
          <w:szCs w:val="28"/>
        </w:rPr>
        <w:t>各室</w:t>
      </w:r>
      <w:r>
        <w:rPr>
          <w:rFonts w:hint="eastAsia" w:ascii="仿宋_GB2312" w:eastAsia="仿宋_GB2312"/>
          <w:spacing w:val="-2"/>
          <w:sz w:val="28"/>
          <w:szCs w:val="28"/>
        </w:rPr>
        <w:t>部门责任意识，做好财政资金预算决算管理工作，切实提高财政资金使用效益，通过组织培训、会议、专业人士授课等方式不断提升我校全体教职工及财政资金绩效自评工作小组人员的评价知识和能力，确保绩效评价的科学性和准确性。</w:t>
      </w:r>
    </w:p>
    <w:p>
      <w:pPr>
        <w:pStyle w:val="4"/>
        <w:spacing w:line="560" w:lineRule="exact"/>
        <w:ind w:firstLine="560" w:firstLineChars="200"/>
        <w:rPr>
          <w:rFonts w:ascii="仿宋_GB2312" w:hAnsi="仿宋_GB2312" w:eastAsia="仿宋_GB2312" w:cs="仿宋_GB2312"/>
          <w:sz w:val="32"/>
          <w:szCs w:val="32"/>
        </w:rPr>
      </w:pPr>
      <w:r>
        <w:rPr>
          <w:rFonts w:hint="eastAsia" w:ascii="仿宋_GB2312" w:hAnsi="仿宋_GB2312" w:eastAsia="仿宋_GB2312" w:cs="仿宋_GB2312"/>
          <w:sz w:val="28"/>
          <w:szCs w:val="28"/>
        </w:rPr>
        <w:t>（二）</w:t>
      </w:r>
      <w:r>
        <w:rPr>
          <w:rFonts w:hint="eastAsia" w:ascii="仿宋_GB2312" w:hAnsi="仿宋_GB2312" w:eastAsia="仿宋_GB2312" w:cs="仿宋_GB2312"/>
          <w:bCs/>
          <w:sz w:val="28"/>
          <w:szCs w:val="28"/>
        </w:rPr>
        <w:t>进一步贯彻落实相关精神,提升教育培训实效。</w:t>
      </w:r>
      <w:r>
        <w:rPr>
          <w:rFonts w:hint="eastAsia" w:ascii="仿宋_GB2312" w:hAnsi="仿宋_GB2312" w:eastAsia="仿宋_GB2312" w:cs="仿宋_GB2312"/>
          <w:sz w:val="28"/>
          <w:szCs w:val="28"/>
        </w:rPr>
        <w:t>切实发挥学校自身优势，把学习宣讲党史、党的十九届六中全会、湖南第十二次党代会精神等作为今后工作的主业主责，以习近平新时代中国特色社会主义思想为指导，严格按照《条例》开展工作，统筹用好各种资源，切实加强队伍建设，不断提升教育培训实效，打造党性教育精品课程，提高办学质量和水平。</w:t>
      </w:r>
    </w:p>
    <w:p>
      <w:pPr>
        <w:numPr>
          <w:ilvl w:val="0"/>
          <w:numId w:val="2"/>
        </w:numPr>
        <w:spacing w:line="560" w:lineRule="exact"/>
        <w:ind w:firstLine="640" w:firstLineChars="200"/>
        <w:rPr>
          <w:rFonts w:eastAsia="黑体"/>
          <w:sz w:val="32"/>
          <w:szCs w:val="32"/>
        </w:rPr>
      </w:pPr>
      <w:r>
        <w:rPr>
          <w:rFonts w:eastAsia="黑体"/>
          <w:sz w:val="32"/>
          <w:szCs w:val="32"/>
        </w:rPr>
        <w:t>绩效自评结果拟应用和公开情况</w:t>
      </w:r>
    </w:p>
    <w:p>
      <w:pPr>
        <w:spacing w:line="276" w:lineRule="auto"/>
        <w:ind w:firstLine="482"/>
        <w:jc w:val="left"/>
        <w:rPr>
          <w:rFonts w:ascii="仿宋" w:hAnsi="仿宋" w:eastAsia="仿宋" w:cs="宋体"/>
          <w:sz w:val="28"/>
          <w:szCs w:val="28"/>
        </w:rPr>
      </w:pPr>
      <w:r>
        <w:rPr>
          <w:rFonts w:hint="eastAsia" w:ascii="仿宋" w:hAnsi="仿宋" w:eastAsia="仿宋"/>
          <w:spacing w:val="-2"/>
          <w:sz w:val="28"/>
          <w:szCs w:val="28"/>
        </w:rPr>
        <w:t>根据我校202</w:t>
      </w:r>
      <w:r>
        <w:rPr>
          <w:rFonts w:hint="eastAsia" w:ascii="仿宋" w:hAnsi="仿宋" w:eastAsia="仿宋"/>
          <w:spacing w:val="-2"/>
          <w:sz w:val="28"/>
          <w:szCs w:val="28"/>
          <w:lang w:val="en-US" w:eastAsia="zh-CN"/>
        </w:rPr>
        <w:t>3</w:t>
      </w:r>
      <w:r>
        <w:rPr>
          <w:rFonts w:hint="eastAsia" w:ascii="仿宋" w:hAnsi="仿宋" w:eastAsia="仿宋"/>
          <w:spacing w:val="-2"/>
          <w:sz w:val="28"/>
          <w:szCs w:val="28"/>
        </w:rPr>
        <w:t>年度财政资金绩效自评结果，</w:t>
      </w:r>
      <w:r>
        <w:rPr>
          <w:rFonts w:hint="eastAsia" w:ascii="仿宋" w:hAnsi="仿宋" w:eastAsia="仿宋" w:cs="宋体"/>
          <w:sz w:val="28"/>
          <w:szCs w:val="28"/>
        </w:rPr>
        <w:t>吉首市第七初级中学及时制定和完善部门管理制度，及时开展厉行节约严格管理专项活动。</w:t>
      </w:r>
    </w:p>
    <w:p>
      <w:pPr>
        <w:pStyle w:val="8"/>
        <w:numPr>
          <w:ilvl w:val="0"/>
          <w:numId w:val="3"/>
        </w:numPr>
        <w:spacing w:line="276" w:lineRule="auto"/>
        <w:ind w:left="0" w:firstLine="560"/>
        <w:rPr>
          <w:rFonts w:ascii="仿宋" w:hAnsi="仿宋" w:eastAsia="仿宋" w:cs="宋体"/>
          <w:sz w:val="28"/>
          <w:szCs w:val="28"/>
        </w:rPr>
      </w:pPr>
      <w:r>
        <w:rPr>
          <w:rFonts w:hint="eastAsia" w:ascii="仿宋" w:hAnsi="仿宋" w:eastAsia="仿宋" w:cs="宋体"/>
          <w:sz w:val="28"/>
          <w:szCs w:val="28"/>
        </w:rPr>
        <w:t>强化单位内部控制制度，预算管理、收支管理、财务管理、资产管理、采购管理、项目建设、合同管理的执行，</w:t>
      </w:r>
    </w:p>
    <w:p>
      <w:pPr>
        <w:pStyle w:val="8"/>
        <w:numPr>
          <w:ilvl w:val="0"/>
          <w:numId w:val="3"/>
        </w:numPr>
        <w:spacing w:line="276" w:lineRule="auto"/>
        <w:ind w:left="0" w:firstLine="560"/>
        <w:rPr>
          <w:rFonts w:ascii="仿宋" w:hAnsi="仿宋" w:eastAsia="仿宋" w:cs="宋体"/>
          <w:sz w:val="28"/>
          <w:szCs w:val="28"/>
        </w:rPr>
      </w:pPr>
      <w:r>
        <w:rPr>
          <w:rFonts w:hint="eastAsia" w:ascii="仿宋" w:hAnsi="仿宋" w:eastAsia="仿宋" w:cs="宋体"/>
          <w:sz w:val="28"/>
          <w:szCs w:val="28"/>
        </w:rPr>
        <w:t>加强内部监督管理，有效的克服制度较多但内控的有效性不明显的弊端，有待加强。</w:t>
      </w:r>
    </w:p>
    <w:p>
      <w:pPr>
        <w:pStyle w:val="8"/>
        <w:numPr>
          <w:ilvl w:val="0"/>
          <w:numId w:val="3"/>
        </w:numPr>
        <w:spacing w:line="276" w:lineRule="auto"/>
        <w:ind w:left="0" w:firstLine="560"/>
        <w:rPr>
          <w:rFonts w:ascii="仿宋_GB2312" w:hAnsi="仿宋_GB2312" w:eastAsia="仿宋_GB2312" w:cs="仿宋_GB2312"/>
          <w:sz w:val="32"/>
          <w:szCs w:val="32"/>
        </w:rPr>
      </w:pPr>
      <w:r>
        <w:rPr>
          <w:rFonts w:hint="eastAsia" w:ascii="仿宋" w:hAnsi="仿宋" w:eastAsia="仿宋" w:cs="宋体"/>
          <w:sz w:val="28"/>
          <w:szCs w:val="28"/>
        </w:rPr>
        <w:t>按照上级要求及时在市政府网站上按规定内容，真实、完整、准确的公开预决算信息、绩效评估报告信息，基础数据信息和会计信息等资料。</w:t>
      </w:r>
    </w:p>
    <w:p>
      <w:pPr>
        <w:adjustRightInd w:val="0"/>
        <w:snapToGrid w:val="0"/>
        <w:spacing w:line="560" w:lineRule="exact"/>
        <w:ind w:firstLine="640" w:firstLineChars="200"/>
        <w:rPr>
          <w:rFonts w:eastAsia="黑体"/>
          <w:sz w:val="32"/>
          <w:szCs w:val="32"/>
        </w:rPr>
      </w:pPr>
      <w:r>
        <w:rPr>
          <w:rFonts w:hint="eastAsia" w:eastAsia="黑体"/>
          <w:sz w:val="32"/>
          <w:szCs w:val="32"/>
        </w:rPr>
        <w:t>十一</w:t>
      </w:r>
      <w:r>
        <w:rPr>
          <w:rFonts w:eastAsia="黑体"/>
          <w:sz w:val="32"/>
          <w:szCs w:val="32"/>
        </w:rPr>
        <w:t>、其他需要说明的问题</w:t>
      </w:r>
    </w:p>
    <w:p>
      <w:pPr>
        <w:spacing w:line="360" w:lineRule="auto"/>
        <w:ind w:firstLine="555"/>
        <w:jc w:val="left"/>
        <w:rPr>
          <w:rFonts w:ascii="仿宋" w:hAnsi="仿宋" w:eastAsia="仿宋" w:cs="宋体"/>
          <w:sz w:val="28"/>
          <w:szCs w:val="28"/>
        </w:rPr>
      </w:pPr>
      <w:r>
        <w:rPr>
          <w:rFonts w:hint="eastAsia" w:ascii="仿宋" w:hAnsi="仿宋" w:eastAsia="仿宋" w:cs="宋体"/>
          <w:sz w:val="28"/>
          <w:szCs w:val="28"/>
        </w:rPr>
        <w:t>为了应对上述挑战，首先应从会计科目上作出调整，这需要财政部门对经济科目进一步细化，财务软件的运营商对软件做出改良，同时也需要项目经手人能够在取得相应的票据时注明项目名称，方便财务人员进行账务处理。</w:t>
      </w:r>
    </w:p>
    <w:p>
      <w:pPr>
        <w:spacing w:line="360" w:lineRule="auto"/>
        <w:ind w:firstLine="555"/>
        <w:jc w:val="left"/>
        <w:rPr>
          <w:rFonts w:ascii="仿宋" w:hAnsi="仿宋" w:eastAsia="仿宋" w:cs="宋体"/>
          <w:sz w:val="28"/>
          <w:szCs w:val="28"/>
        </w:rPr>
      </w:pPr>
      <w:r>
        <w:rPr>
          <w:rFonts w:hint="eastAsia" w:ascii="仿宋" w:hAnsi="仿宋" w:eastAsia="仿宋" w:cs="宋体"/>
          <w:sz w:val="28"/>
          <w:szCs w:val="28"/>
        </w:rPr>
        <w:t>要将非单位职能化的义务和责任一并纳入绩效评价，这样才能真实反映预算收入与实际之间的矛盾。</w:t>
      </w:r>
    </w:p>
    <w:p>
      <w:pPr>
        <w:spacing w:line="360" w:lineRule="auto"/>
        <w:ind w:firstLine="555"/>
        <w:jc w:val="left"/>
        <w:rPr>
          <w:rFonts w:ascii="仿宋" w:hAnsi="仿宋" w:eastAsia="仿宋" w:cs="宋体"/>
          <w:sz w:val="28"/>
          <w:szCs w:val="28"/>
        </w:rPr>
      </w:pPr>
      <w:r>
        <w:rPr>
          <w:rFonts w:hint="eastAsia" w:ascii="仿宋" w:hAnsi="仿宋" w:eastAsia="仿宋" w:cs="宋体"/>
          <w:sz w:val="28"/>
          <w:szCs w:val="28"/>
        </w:rPr>
        <w:t>财政资金有时拨付较晚，例如年底。而相关资金尚未来得及使用，导致账目上资金有所结余。因此在评价“预算完成率”这项指标时会导致评分基准不够合理。因为，某些项目是在年底才启动，而这项项目通常需要跨年才能够完成，故把这些项目纳入考核范围内欠缺合理性。建议在对财政资金拨付时应尽量早，这样使评价工作也更合理、顺利。</w:t>
      </w:r>
    </w:p>
    <w:p>
      <w:pPr>
        <w:spacing w:line="360" w:lineRule="auto"/>
        <w:ind w:firstLine="555"/>
        <w:jc w:val="right"/>
        <w:rPr>
          <w:rFonts w:ascii="仿宋" w:hAnsi="仿宋" w:eastAsia="仿宋" w:cs="宋体"/>
          <w:sz w:val="28"/>
          <w:szCs w:val="28"/>
        </w:rPr>
      </w:pPr>
    </w:p>
    <w:p>
      <w:pPr>
        <w:spacing w:line="360" w:lineRule="auto"/>
        <w:ind w:firstLine="555"/>
        <w:jc w:val="left"/>
        <w:rPr>
          <w:rFonts w:ascii="仿宋" w:hAnsi="仿宋" w:eastAsia="仿宋" w:cs="宋体"/>
          <w:sz w:val="28"/>
          <w:szCs w:val="28"/>
        </w:rPr>
      </w:pPr>
    </w:p>
    <w:p>
      <w:pPr>
        <w:spacing w:line="360" w:lineRule="auto"/>
        <w:ind w:firstLine="555"/>
        <w:jc w:val="left"/>
        <w:rPr>
          <w:rFonts w:ascii="仿宋" w:hAnsi="仿宋" w:eastAsia="仿宋" w:cs="宋体"/>
          <w:sz w:val="28"/>
          <w:szCs w:val="28"/>
        </w:rPr>
      </w:pPr>
    </w:p>
    <w:p>
      <w:pPr>
        <w:spacing w:line="560" w:lineRule="exact"/>
        <w:rPr>
          <w:rFonts w:ascii="仿宋_GB2312" w:hAnsi="仿宋_GB2312" w:eastAsia="仿宋_GB2312" w:cs="仿宋_GB2312"/>
          <w:sz w:val="32"/>
          <w:szCs w:val="32"/>
        </w:rPr>
      </w:pPr>
      <w:bookmarkStart w:id="0" w:name="_GoBack"/>
      <w:bookmarkEnd w:id="0"/>
    </w:p>
    <w:sectPr>
      <w:footerReference r:id="rId3" w:type="default"/>
      <w:pgSz w:w="11906" w:h="16838"/>
      <w:pgMar w:top="2098" w:right="1531" w:bottom="1984" w:left="1531" w:header="851" w:footer="1417"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宋体-方正超大字符集"/>
    <w:panose1 w:val="02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40740"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4074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both"/>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65pt;width:66.2pt;mso-position-horizontal:outside;mso-position-horizontal-relative:margin;z-index:251659264;mso-width-relative:page;mso-height-relative:page;" filled="f" stroked="f" coordsize="21600,21600" o:gfxdata="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5qBpNQAAAAEAQAADwAAAAAAAAABACAAAAAiAAAAZHJzL2Rvd25yZXYueG1sUEsB&#10;AhQAFAAAAAgAh07iQKP3VBoyAgAAVQQAAA4AAAAAAAAAAQAgAAAAIwEAAGRycy9lMm9Eb2MueG1s&#10;UEsFBgAAAAAGAAYAWQEAAMcFAAAAAA==&#10;">
              <v:fill on="f" focussize="0,0"/>
              <v:stroke on="f" weight="0.5pt"/>
              <v:imagedata o:title=""/>
              <o:lock v:ext="edit" aspectratio="f"/>
              <v:textbox inset="0mm,0mm,0mm,0mm">
                <w:txbxContent>
                  <w:p>
                    <w:pPr>
                      <w:pStyle w:val="4"/>
                      <w:jc w:val="both"/>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76CAE"/>
    <w:multiLevelType w:val="multilevel"/>
    <w:tmpl w:val="22B76C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3528C5"/>
    <w:multiLevelType w:val="multilevel"/>
    <w:tmpl w:val="253528C5"/>
    <w:lvl w:ilvl="0" w:tentative="0">
      <w:start w:val="1"/>
      <w:numFmt w:val="decimal"/>
      <w:lvlText w:val="%1、"/>
      <w:lvlJc w:val="left"/>
      <w:pPr>
        <w:ind w:left="1322" w:hanging="84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65AC9758"/>
    <w:multiLevelType w:val="singleLevel"/>
    <w:tmpl w:val="65AC9758"/>
    <w:lvl w:ilvl="0" w:tentative="0">
      <w:start w:val="8"/>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ZmU0ODY3YmJmNmQxNjljMzZhNDRkMmE4Zjk3OWYifQ=="/>
  </w:docVars>
  <w:rsids>
    <w:rsidRoot w:val="64BA0B8D"/>
    <w:rsid w:val="000E0213"/>
    <w:rsid w:val="00221D81"/>
    <w:rsid w:val="0026390B"/>
    <w:rsid w:val="00330877"/>
    <w:rsid w:val="003A2420"/>
    <w:rsid w:val="003F2753"/>
    <w:rsid w:val="005626DB"/>
    <w:rsid w:val="00595E39"/>
    <w:rsid w:val="00662792"/>
    <w:rsid w:val="00674B3A"/>
    <w:rsid w:val="00806D9C"/>
    <w:rsid w:val="00893820"/>
    <w:rsid w:val="00A6440B"/>
    <w:rsid w:val="00B02B4F"/>
    <w:rsid w:val="00B43316"/>
    <w:rsid w:val="00B96B58"/>
    <w:rsid w:val="00BD422E"/>
    <w:rsid w:val="00C06573"/>
    <w:rsid w:val="00DC117D"/>
    <w:rsid w:val="00ED3A8D"/>
    <w:rsid w:val="00F64813"/>
    <w:rsid w:val="00F83E16"/>
    <w:rsid w:val="00F9054A"/>
    <w:rsid w:val="06BD3726"/>
    <w:rsid w:val="12851EC3"/>
    <w:rsid w:val="18FC27B3"/>
    <w:rsid w:val="1DB7439C"/>
    <w:rsid w:val="27532668"/>
    <w:rsid w:val="31BA0990"/>
    <w:rsid w:val="32700E83"/>
    <w:rsid w:val="32CB4449"/>
    <w:rsid w:val="3B755635"/>
    <w:rsid w:val="420F29FD"/>
    <w:rsid w:val="53735416"/>
    <w:rsid w:val="5BF85710"/>
    <w:rsid w:val="64BA0B8D"/>
    <w:rsid w:val="65864EAB"/>
    <w:rsid w:val="683464C5"/>
    <w:rsid w:val="693C6545"/>
    <w:rsid w:val="774D6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3">
    <w:name w:val="Balloon Text"/>
    <w:basedOn w:val="1"/>
    <w:link w:val="11"/>
    <w:autoRedefine/>
    <w:qFormat/>
    <w:uiPriority w:val="0"/>
    <w:rPr>
      <w:sz w:val="18"/>
      <w:szCs w:val="18"/>
    </w:rPr>
  </w:style>
  <w:style w:type="paragraph" w:styleId="4">
    <w:name w:val="footer"/>
    <w:basedOn w:val="1"/>
    <w:link w:val="10"/>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autoRedefine/>
    <w:unhideWhenUsed/>
    <w:qFormat/>
    <w:uiPriority w:val="99"/>
    <w:pPr>
      <w:ind w:firstLine="420" w:firstLineChars="200"/>
    </w:pPr>
  </w:style>
  <w:style w:type="paragraph" w:customStyle="1" w:styleId="9">
    <w:name w:val="列出段落1"/>
    <w:basedOn w:val="1"/>
    <w:autoRedefine/>
    <w:qFormat/>
    <w:uiPriority w:val="0"/>
    <w:pPr>
      <w:ind w:firstLine="420" w:firstLineChars="200"/>
    </w:pPr>
    <w:rPr>
      <w:rFonts w:ascii="Calibri" w:hAnsi="Calibri"/>
      <w:szCs w:val="21"/>
    </w:rPr>
  </w:style>
  <w:style w:type="character" w:customStyle="1" w:styleId="10">
    <w:name w:val="页脚 Char"/>
    <w:basedOn w:val="7"/>
    <w:link w:val="4"/>
    <w:autoRedefine/>
    <w:qFormat/>
    <w:uiPriority w:val="0"/>
    <w:rPr>
      <w:rFonts w:ascii="Times New Roman" w:hAnsi="Times New Roman" w:eastAsia="宋体" w:cs="Times New Roman"/>
      <w:kern w:val="2"/>
      <w:sz w:val="18"/>
      <w:szCs w:val="24"/>
    </w:rPr>
  </w:style>
  <w:style w:type="character" w:customStyle="1" w:styleId="11">
    <w:name w:val="批注框文本 Char"/>
    <w:basedOn w:val="7"/>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6386</Words>
  <Characters>6577</Characters>
  <Lines>51</Lines>
  <Paragraphs>14</Paragraphs>
  <TotalTime>18</TotalTime>
  <ScaleCrop>false</ScaleCrop>
  <LinksUpToDate>false</LinksUpToDate>
  <CharactersWithSpaces>6865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2022-07-13T11:57:00Z</dcterms:created>
  <dc:creator>Administrator</dc:creator>
  <cp:lastModifiedBy>心如止水</cp:lastModifiedBy>
  <cp:lastPrinted>2024-05-23T08:09:40Z</cp:lastPrinted>
  <dcterms:modified xsi:type="dcterms:W3CDTF">2024-05-23T08:17:45Z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1E067637A3654255A72A03C2B43053D1_13</vt:lpwstr>
  </property>
</Properties>
</file>