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8C228">
      <w:pPr>
        <w:widowControl/>
        <w:spacing w:line="600" w:lineRule="exact"/>
        <w:jc w:val="left"/>
        <w:rPr>
          <w:rFonts w:eastAsia="黑体"/>
          <w:sz w:val="32"/>
          <w:szCs w:val="32"/>
        </w:rPr>
      </w:pPr>
      <w:bookmarkStart w:id="0" w:name="_GoBack"/>
      <w:bookmarkEnd w:id="0"/>
      <w:r>
        <w:rPr>
          <w:rFonts w:eastAsia="黑体"/>
          <w:sz w:val="32"/>
          <w:szCs w:val="32"/>
        </w:rPr>
        <w:t xml:space="preserve"> </w:t>
      </w:r>
    </w:p>
    <w:p w14:paraId="6DBD2F5A">
      <w:pPr>
        <w:spacing w:line="600" w:lineRule="exact"/>
        <w:jc w:val="center"/>
        <w:rPr>
          <w:rFonts w:ascii="方正小标宋简体" w:eastAsia="方正小标宋简体"/>
          <w:spacing w:val="-8"/>
          <w:sz w:val="44"/>
          <w:szCs w:val="44"/>
        </w:rPr>
      </w:pPr>
      <w:r>
        <w:rPr>
          <w:rFonts w:hint="eastAsia" w:ascii="方正小标宋简体" w:eastAsia="方正小标宋简体"/>
          <w:spacing w:val="-8"/>
          <w:sz w:val="44"/>
          <w:szCs w:val="44"/>
          <w:lang w:eastAsia="zh-CN"/>
        </w:rPr>
        <w:t>吉首市人大</w:t>
      </w:r>
      <w:r>
        <w:rPr>
          <w:rFonts w:hint="eastAsia" w:ascii="方正小标宋简体" w:eastAsia="方正小标宋简体"/>
          <w:spacing w:val="-8"/>
          <w:sz w:val="44"/>
          <w:szCs w:val="44"/>
        </w:rPr>
        <w:t>关于开展</w:t>
      </w:r>
      <w:r>
        <w:rPr>
          <w:rFonts w:hint="eastAsia" w:ascii="方正小标宋简体" w:eastAsia="方正小标宋简体"/>
          <w:spacing w:val="-8"/>
          <w:sz w:val="44"/>
          <w:szCs w:val="44"/>
          <w:lang w:val="en-US" w:eastAsia="zh-CN"/>
        </w:rPr>
        <w:t>2021</w:t>
      </w:r>
      <w:r>
        <w:rPr>
          <w:rFonts w:hint="eastAsia" w:ascii="方正小标宋简体" w:eastAsia="方正小标宋简体"/>
          <w:spacing w:val="-8"/>
          <w:sz w:val="44"/>
          <w:szCs w:val="44"/>
        </w:rPr>
        <w:t>年度项目支出</w:t>
      </w:r>
    </w:p>
    <w:p w14:paraId="25BC72B6">
      <w:pPr>
        <w:spacing w:line="600" w:lineRule="exact"/>
        <w:jc w:val="center"/>
        <w:rPr>
          <w:rFonts w:ascii="方正小标宋简体" w:eastAsia="方正小标宋简体"/>
          <w:spacing w:val="-8"/>
          <w:sz w:val="44"/>
          <w:szCs w:val="44"/>
        </w:rPr>
      </w:pPr>
      <w:r>
        <w:rPr>
          <w:rFonts w:hint="eastAsia" w:ascii="方正小标宋简体" w:eastAsia="方正小标宋简体"/>
          <w:spacing w:val="-8"/>
          <w:sz w:val="44"/>
          <w:szCs w:val="44"/>
        </w:rPr>
        <w:t>绩效自评工作的通知</w:t>
      </w:r>
    </w:p>
    <w:p w14:paraId="0A99A0B9">
      <w:pPr>
        <w:spacing w:line="600" w:lineRule="exact"/>
        <w:rPr>
          <w:rFonts w:eastAsia="仿宋_GB2312"/>
          <w:sz w:val="32"/>
          <w:szCs w:val="32"/>
        </w:rPr>
      </w:pPr>
      <w:r>
        <w:rPr>
          <w:rFonts w:eastAsia="仿宋_GB2312"/>
          <w:sz w:val="32"/>
          <w:szCs w:val="32"/>
        </w:rPr>
        <w:t xml:space="preserve"> </w:t>
      </w:r>
    </w:p>
    <w:p w14:paraId="727E31A3">
      <w:pPr>
        <w:spacing w:line="600" w:lineRule="exact"/>
        <w:ind w:firstLine="640" w:firstLineChars="200"/>
        <w:rPr>
          <w:rFonts w:hint="eastAsia" w:eastAsia="仿宋_GB2312"/>
          <w:sz w:val="32"/>
          <w:szCs w:val="32"/>
        </w:rPr>
      </w:pPr>
      <w:r>
        <w:rPr>
          <w:rFonts w:hint="eastAsia" w:eastAsia="仿宋_GB2312"/>
          <w:sz w:val="32"/>
          <w:szCs w:val="32"/>
        </w:rPr>
        <w:t>为进一步规范财政资金管理，强化绩效和责任意识，切实提</w:t>
      </w:r>
    </w:p>
    <w:p w14:paraId="6075A3C7">
      <w:pPr>
        <w:spacing w:line="600" w:lineRule="exact"/>
        <w:rPr>
          <w:rFonts w:eastAsia="仿宋_GB2312"/>
          <w:sz w:val="32"/>
          <w:szCs w:val="32"/>
        </w:rPr>
      </w:pPr>
      <w:r>
        <w:rPr>
          <w:rFonts w:hint="eastAsia" w:eastAsia="仿宋_GB2312"/>
          <w:sz w:val="32"/>
          <w:szCs w:val="32"/>
        </w:rPr>
        <w:t>高资金使用效益，根据</w:t>
      </w:r>
      <w:r>
        <w:rPr>
          <w:rFonts w:hint="eastAsia" w:eastAsia="仿宋_GB2312"/>
          <w:sz w:val="32"/>
          <w:szCs w:val="32"/>
          <w:lang w:eastAsia="zh-CN"/>
        </w:rPr>
        <w:t>吉首市财政局</w:t>
      </w:r>
      <w:r>
        <w:rPr>
          <w:rFonts w:hint="eastAsia" w:eastAsia="仿宋_GB2312"/>
          <w:sz w:val="32"/>
          <w:szCs w:val="32"/>
        </w:rPr>
        <w:t>《关于开展202</w:t>
      </w:r>
      <w:r>
        <w:rPr>
          <w:rFonts w:hint="eastAsia" w:eastAsia="仿宋_GB2312"/>
          <w:sz w:val="32"/>
          <w:szCs w:val="32"/>
          <w:lang w:val="en-US" w:eastAsia="zh-CN"/>
        </w:rPr>
        <w:t>1</w:t>
      </w:r>
      <w:r>
        <w:rPr>
          <w:rFonts w:hint="eastAsia" w:eastAsia="仿宋_GB2312"/>
          <w:sz w:val="32"/>
          <w:szCs w:val="32"/>
        </w:rPr>
        <w:t>年度</w:t>
      </w:r>
      <w:r>
        <w:rPr>
          <w:rFonts w:hint="eastAsia" w:eastAsia="仿宋_GB2312"/>
          <w:sz w:val="32"/>
          <w:szCs w:val="32"/>
          <w:lang w:eastAsia="zh-CN"/>
        </w:rPr>
        <w:t>本级</w:t>
      </w:r>
      <w:r>
        <w:rPr>
          <w:rFonts w:hint="eastAsia" w:eastAsia="仿宋_GB2312"/>
          <w:sz w:val="32"/>
          <w:szCs w:val="32"/>
        </w:rPr>
        <w:t>预算部门(单位)</w:t>
      </w:r>
      <w:r>
        <w:rPr>
          <w:rFonts w:hint="eastAsia" w:eastAsia="仿宋_GB2312"/>
          <w:sz w:val="32"/>
          <w:szCs w:val="32"/>
          <w:lang w:eastAsia="zh-CN"/>
        </w:rPr>
        <w:t>项目</w:t>
      </w:r>
      <w:r>
        <w:rPr>
          <w:rFonts w:hint="eastAsia" w:eastAsia="仿宋_GB2312"/>
          <w:sz w:val="32"/>
          <w:szCs w:val="32"/>
        </w:rPr>
        <w:t>支出绩效自评工作的通知》(</w:t>
      </w:r>
      <w:r>
        <w:rPr>
          <w:rFonts w:hint="eastAsia" w:eastAsia="仿宋_GB2312"/>
          <w:sz w:val="32"/>
          <w:szCs w:val="32"/>
          <w:lang w:eastAsia="zh-CN"/>
        </w:rPr>
        <w:t>吉</w:t>
      </w:r>
      <w:r>
        <w:rPr>
          <w:rFonts w:hint="eastAsia" w:eastAsia="仿宋_GB2312"/>
          <w:sz w:val="32"/>
          <w:szCs w:val="32"/>
        </w:rPr>
        <w:t>财绩〔202</w:t>
      </w:r>
      <w:r>
        <w:rPr>
          <w:rFonts w:hint="eastAsia" w:eastAsia="仿宋_GB2312"/>
          <w:sz w:val="32"/>
          <w:szCs w:val="32"/>
          <w:lang w:val="en-US" w:eastAsia="zh-CN"/>
        </w:rPr>
        <w:t>2〕6</w:t>
      </w:r>
      <w:r>
        <w:rPr>
          <w:rFonts w:hint="eastAsia" w:eastAsia="仿宋_GB2312"/>
          <w:sz w:val="32"/>
          <w:szCs w:val="32"/>
        </w:rPr>
        <w:t>号文件精神要求，现就我单位开展202</w:t>
      </w:r>
      <w:r>
        <w:rPr>
          <w:rFonts w:hint="eastAsia" w:eastAsia="仿宋_GB2312"/>
          <w:sz w:val="32"/>
          <w:szCs w:val="32"/>
          <w:lang w:val="en-US" w:eastAsia="zh-CN"/>
        </w:rPr>
        <w:t>1</w:t>
      </w:r>
      <w:r>
        <w:rPr>
          <w:rFonts w:hint="eastAsia" w:eastAsia="仿宋_GB2312"/>
          <w:sz w:val="32"/>
          <w:szCs w:val="32"/>
        </w:rPr>
        <w:t>年度</w:t>
      </w:r>
      <w:r>
        <w:rPr>
          <w:rFonts w:hint="eastAsia" w:eastAsia="仿宋_GB2312"/>
          <w:sz w:val="32"/>
          <w:szCs w:val="32"/>
          <w:lang w:eastAsia="zh-CN"/>
        </w:rPr>
        <w:t>项目</w:t>
      </w:r>
      <w:r>
        <w:rPr>
          <w:rFonts w:hint="eastAsia" w:eastAsia="仿宋_GB2312"/>
          <w:sz w:val="32"/>
          <w:szCs w:val="32"/>
        </w:rPr>
        <w:t>绩效自评工有关事项通知如下:</w:t>
      </w:r>
    </w:p>
    <w:p w14:paraId="3AE7AC26">
      <w:pPr>
        <w:spacing w:line="600" w:lineRule="exact"/>
        <w:ind w:firstLine="640" w:firstLineChars="200"/>
        <w:rPr>
          <w:rFonts w:eastAsia="黑体"/>
          <w:sz w:val="32"/>
          <w:szCs w:val="32"/>
        </w:rPr>
      </w:pPr>
      <w:r>
        <w:rPr>
          <w:rFonts w:hint="eastAsia" w:ascii="黑体" w:hAnsi="黑体" w:eastAsia="黑体"/>
          <w:sz w:val="32"/>
          <w:szCs w:val="32"/>
        </w:rPr>
        <w:t>一、自评范围</w:t>
      </w:r>
    </w:p>
    <w:p w14:paraId="0C345EE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2021</w:t>
      </w:r>
      <w:r>
        <w:rPr>
          <w:rFonts w:hint="eastAsia" w:ascii="仿宋_GB2312" w:eastAsia="仿宋_GB2312"/>
          <w:sz w:val="32"/>
          <w:szCs w:val="32"/>
        </w:rPr>
        <w:t>年度市财政安排给本部门项目支出</w:t>
      </w:r>
      <w:r>
        <w:rPr>
          <w:rFonts w:hint="eastAsia" w:ascii="仿宋_GB2312" w:eastAsia="仿宋_GB2312"/>
          <w:sz w:val="32"/>
          <w:szCs w:val="32"/>
          <w:lang w:val="en-US" w:eastAsia="zh-CN"/>
        </w:rPr>
        <w:t>179.7</w:t>
      </w:r>
      <w:r>
        <w:rPr>
          <w:rFonts w:hint="eastAsia" w:ascii="仿宋_GB2312" w:eastAsia="仿宋_GB2312"/>
          <w:sz w:val="32"/>
          <w:szCs w:val="32"/>
        </w:rPr>
        <w:t>万元，其中，项目支出30万</w:t>
      </w:r>
      <w:r>
        <w:rPr>
          <w:rFonts w:ascii="仿宋_GB2312" w:eastAsia="仿宋_GB2312"/>
          <w:sz w:val="32"/>
          <w:szCs w:val="32"/>
        </w:rPr>
        <w:t>元及以上</w:t>
      </w:r>
      <w:r>
        <w:rPr>
          <w:rFonts w:hint="eastAsia" w:ascii="仿宋_GB2312" w:eastAsia="仿宋_GB2312"/>
          <w:sz w:val="32"/>
          <w:szCs w:val="32"/>
        </w:rPr>
        <w:t>的有</w:t>
      </w:r>
      <w:r>
        <w:rPr>
          <w:rFonts w:hint="eastAsia" w:ascii="仿宋_GB2312" w:eastAsia="仿宋_GB2312"/>
          <w:sz w:val="32"/>
          <w:szCs w:val="32"/>
          <w:lang w:val="en-US" w:eastAsia="zh-CN"/>
        </w:rPr>
        <w:t>1</w:t>
      </w:r>
      <w:r>
        <w:rPr>
          <w:rFonts w:hint="eastAsia" w:ascii="仿宋_GB2312" w:eastAsia="仿宋_GB2312"/>
          <w:sz w:val="32"/>
          <w:szCs w:val="32"/>
        </w:rPr>
        <w:t>个</w:t>
      </w:r>
      <w:r>
        <w:rPr>
          <w:rFonts w:hint="eastAsia" w:ascii="仿宋_GB2312" w:eastAsia="仿宋_GB2312"/>
          <w:sz w:val="32"/>
          <w:szCs w:val="32"/>
          <w:lang w:eastAsia="zh-CN"/>
        </w:rPr>
        <w:t>（人大会议）</w:t>
      </w:r>
      <w:r>
        <w:rPr>
          <w:rFonts w:ascii="仿宋_GB2312" w:eastAsia="仿宋_GB2312"/>
          <w:sz w:val="32"/>
          <w:szCs w:val="32"/>
        </w:rPr>
        <w:t>，</w:t>
      </w:r>
      <w:r>
        <w:rPr>
          <w:rFonts w:hint="eastAsia" w:ascii="仿宋_GB2312" w:eastAsia="仿宋_GB2312"/>
          <w:sz w:val="32"/>
          <w:szCs w:val="32"/>
        </w:rPr>
        <w:t>共</w:t>
      </w:r>
      <w:r>
        <w:rPr>
          <w:rFonts w:hint="eastAsia" w:ascii="仿宋_GB2312" w:eastAsia="仿宋_GB2312"/>
          <w:sz w:val="32"/>
          <w:szCs w:val="32"/>
          <w:lang w:val="en-US" w:eastAsia="zh-CN"/>
        </w:rPr>
        <w:t>80</w:t>
      </w:r>
      <w:r>
        <w:rPr>
          <w:rFonts w:hint="eastAsia" w:ascii="仿宋_GB2312" w:eastAsia="仿宋_GB2312"/>
          <w:sz w:val="32"/>
          <w:szCs w:val="32"/>
        </w:rPr>
        <w:t>万元。</w:t>
      </w:r>
    </w:p>
    <w:p w14:paraId="3763F59A">
      <w:pPr>
        <w:spacing w:line="600" w:lineRule="exact"/>
        <w:ind w:firstLine="640" w:firstLineChars="200"/>
        <w:rPr>
          <w:rFonts w:eastAsia="黑体"/>
          <w:sz w:val="32"/>
          <w:szCs w:val="32"/>
        </w:rPr>
      </w:pPr>
      <w:r>
        <w:rPr>
          <w:rFonts w:hint="eastAsia" w:ascii="黑体" w:hAnsi="黑体" w:eastAsia="黑体"/>
          <w:sz w:val="32"/>
          <w:szCs w:val="32"/>
        </w:rPr>
        <w:t>二、自评主要依据</w:t>
      </w:r>
    </w:p>
    <w:p w14:paraId="5A72357E">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（一）《中华人民共和国预算法》、国家其他相关法律、法规和规章制度；</w:t>
      </w:r>
    </w:p>
    <w:p w14:paraId="5A20DCFA">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（二）《中共中央 国务院关于全面实施预算绩效管理的意见》（中发〔2018〕34号）、《中共湖南省委办公厅 湖南省人民政府办公厅关于全面实施预算绩效管理的实施意见》（湘办发〔2019〕10号）；</w:t>
      </w:r>
    </w:p>
    <w:p w14:paraId="57657BD2">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（三）市委、市政府制定的国民经济与社会发展规划及方针政策，关于重点工作或重大项目印发的指导意见和工作要求等文件；</w:t>
      </w:r>
    </w:p>
    <w:p w14:paraId="1BD73216">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（四）预算管理和绩效评价相关制度和文件；</w:t>
      </w:r>
    </w:p>
    <w:p w14:paraId="779DC850">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（五）市级预算部门“三定”方案、中长期事业发展规划及年度工作计划；</w:t>
      </w:r>
    </w:p>
    <w:p w14:paraId="675375F0">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（六）预算批复时确定的绩效目标及指标，预算部门年度预算执行情况，年度决算报告等相关材料；</w:t>
      </w:r>
    </w:p>
    <w:p w14:paraId="6E39FF25">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（七）项目设立背景和目标，项目及资金管理办法、财务会计资料；</w:t>
      </w:r>
    </w:p>
    <w:p w14:paraId="7708CFAE">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（八）人大预决算审查报告、审计报告及决定、财政稽核监督报告等；</w:t>
      </w:r>
    </w:p>
    <w:p w14:paraId="4F37EA97">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（九）相关行业政策、行业标准及专业技术规范；</w:t>
      </w:r>
    </w:p>
    <w:p w14:paraId="02704481">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（十）其他相关资料。</w:t>
      </w:r>
    </w:p>
    <w:p w14:paraId="3776E265">
      <w:pPr>
        <w:spacing w:line="600" w:lineRule="exact"/>
        <w:ind w:firstLine="640" w:firstLineChars="200"/>
        <w:rPr>
          <w:rFonts w:eastAsia="黑体"/>
          <w:sz w:val="32"/>
          <w:szCs w:val="32"/>
        </w:rPr>
      </w:pPr>
      <w:r>
        <w:rPr>
          <w:rFonts w:hint="eastAsia" w:ascii="黑体" w:hAnsi="黑体" w:eastAsia="黑体"/>
          <w:sz w:val="32"/>
          <w:szCs w:val="32"/>
        </w:rPr>
        <w:t>三、自评主要内容</w:t>
      </w:r>
    </w:p>
    <w:p w14:paraId="275FE440">
      <w:pPr>
        <w:spacing w:line="600" w:lineRule="exact"/>
        <w:ind w:firstLine="640" w:firstLineChars="200"/>
        <w:rPr>
          <w:rFonts w:hint="eastAsia" w:eastAsia="仿宋_GB2312" w:cs="仿宋_GB2312"/>
          <w:color w:val="000000"/>
          <w:sz w:val="32"/>
          <w:szCs w:val="32"/>
        </w:rPr>
      </w:pPr>
      <w:r>
        <w:rPr>
          <w:rFonts w:hint="eastAsia" w:eastAsia="仿宋_GB2312" w:cs="仿宋_GB2312"/>
          <w:sz w:val="32"/>
          <w:szCs w:val="32"/>
        </w:rPr>
        <w:t>绩效自评的内容主要包括部门</w:t>
      </w:r>
      <w:r>
        <w:rPr>
          <w:rFonts w:hint="eastAsia" w:eastAsia="仿宋_GB2312" w:cs="仿宋_GB2312"/>
          <w:sz w:val="32"/>
          <w:szCs w:val="32"/>
          <w:lang w:eastAsia="zh-CN"/>
        </w:rPr>
        <w:t>项目</w:t>
      </w:r>
      <w:r>
        <w:rPr>
          <w:rFonts w:hint="eastAsia" w:eastAsia="仿宋_GB2312" w:cs="仿宋_GB2312"/>
          <w:sz w:val="32"/>
          <w:szCs w:val="32"/>
        </w:rPr>
        <w:t>支出总体绩效目标、各项绩效指标完成情况以及预算执行情况。对未完成绩效目标或偏离绩效目标较大的要分析并说明原因，研究提出改进措施。同时，</w:t>
      </w:r>
      <w:r>
        <w:rPr>
          <w:rFonts w:hint="eastAsia" w:eastAsia="仿宋_GB2312" w:cs="仿宋_GB2312"/>
          <w:color w:val="000000"/>
          <w:sz w:val="32"/>
          <w:szCs w:val="32"/>
        </w:rPr>
        <w:t>围绕部门（单位）职责、行业发展规划，以预算资金管理为主线，总结部门（单位）资产管理和业务开展情况，从运行成本、管理效率、履职效能、社会效应、可持续发展能力和服务对象满意度等方面，衡量部门（单位）整体及核心业务实施效果。</w:t>
      </w:r>
    </w:p>
    <w:p w14:paraId="57F49EC6">
      <w:pPr>
        <w:spacing w:line="600" w:lineRule="exact"/>
        <w:ind w:firstLine="640" w:firstLineChars="200"/>
        <w:rPr>
          <w:rFonts w:eastAsia="黑体"/>
          <w:sz w:val="32"/>
          <w:szCs w:val="32"/>
        </w:rPr>
      </w:pPr>
      <w:r>
        <w:rPr>
          <w:rFonts w:hint="eastAsia" w:ascii="黑体" w:hAnsi="黑体" w:eastAsia="黑体"/>
          <w:sz w:val="32"/>
          <w:szCs w:val="32"/>
        </w:rPr>
        <w:t>四、自评程序和步骤</w:t>
      </w:r>
    </w:p>
    <w:p w14:paraId="4D9C6CA9">
      <w:pPr>
        <w:spacing w:line="520" w:lineRule="exact"/>
        <w:ind w:firstLine="640"/>
        <w:rPr>
          <w:rFonts w:hint="eastAsia" w:ascii="仿宋" w:hAnsi="仿宋" w:eastAsia="仿宋" w:cs="仿宋_GB2312"/>
          <w:kern w:val="0"/>
          <w:sz w:val="32"/>
          <w:szCs w:val="32"/>
          <w:lang w:eastAsia="zh-CN"/>
        </w:rPr>
      </w:pPr>
      <w:r>
        <w:rPr>
          <w:rFonts w:hint="eastAsia" w:ascii="仿宋" w:hAnsi="仿宋" w:eastAsia="仿宋" w:cs="仿宋_GB2312"/>
          <w:color w:val="000000"/>
          <w:kern w:val="0"/>
          <w:sz w:val="32"/>
          <w:szCs w:val="32"/>
          <w:lang w:val="en-US" w:eastAsia="zh-CN"/>
        </w:rPr>
        <w:t>1、成立自评小组。</w:t>
      </w:r>
      <w:r>
        <w:rPr>
          <w:rFonts w:hint="eastAsia" w:ascii="仿宋" w:hAnsi="仿宋" w:eastAsia="仿宋" w:cs="仿宋_GB2312"/>
          <w:color w:val="000000"/>
          <w:kern w:val="0"/>
          <w:sz w:val="32"/>
          <w:szCs w:val="32"/>
          <w:lang w:eastAsia="zh-CN"/>
        </w:rPr>
        <w:t>成立由吉首市人大常委会主任符启银</w:t>
      </w:r>
      <w:r>
        <w:rPr>
          <w:rFonts w:hint="eastAsia" w:ascii="仿宋" w:hAnsi="仿宋" w:eastAsia="仿宋" w:cs="仿宋_GB2312"/>
          <w:kern w:val="0"/>
          <w:sz w:val="32"/>
          <w:szCs w:val="32"/>
        </w:rPr>
        <w:t>为组长，</w:t>
      </w:r>
      <w:r>
        <w:rPr>
          <w:rFonts w:hint="eastAsia" w:ascii="仿宋" w:hAnsi="仿宋" w:eastAsia="仿宋" w:cs="仿宋_GB2312"/>
          <w:kern w:val="0"/>
          <w:sz w:val="32"/>
          <w:szCs w:val="32"/>
          <w:lang w:eastAsia="zh-CN"/>
        </w:rPr>
        <w:t>吉首市人大常委会主任扶卫萍为</w:t>
      </w:r>
      <w:r>
        <w:rPr>
          <w:rFonts w:hint="eastAsia" w:ascii="仿宋" w:hAnsi="仿宋" w:eastAsia="仿宋" w:cs="仿宋_GB2312"/>
          <w:kern w:val="0"/>
          <w:sz w:val="32"/>
          <w:szCs w:val="32"/>
        </w:rPr>
        <w:t>副组长的绩效评价工作小组，</w:t>
      </w:r>
      <w:r>
        <w:rPr>
          <w:rFonts w:hint="eastAsia" w:ascii="仿宋" w:hAnsi="仿宋" w:eastAsia="仿宋" w:cs="仿宋_GB2312"/>
          <w:kern w:val="0"/>
          <w:sz w:val="32"/>
          <w:szCs w:val="32"/>
          <w:lang w:eastAsia="zh-CN"/>
        </w:rPr>
        <w:t>向顺英、杨雪芳为成员的市人大部门整体支出绩效评价自评工作组，统筹协调完成单位的整体支出绩效评价自评工作。</w:t>
      </w:r>
    </w:p>
    <w:p w14:paraId="37ED906D">
      <w:pPr>
        <w:spacing w:line="600" w:lineRule="exact"/>
        <w:ind w:firstLine="640" w:firstLineChars="200"/>
        <w:rPr>
          <w:rFonts w:hint="eastAsia" w:ascii="仿宋" w:hAnsi="仿宋" w:eastAsia="仿宋" w:cs="仿宋_GB2312"/>
          <w:color w:val="000000"/>
          <w:kern w:val="0"/>
          <w:sz w:val="32"/>
          <w:szCs w:val="32"/>
          <w:lang w:val="en-US" w:eastAsia="zh-CN"/>
        </w:rPr>
      </w:pPr>
      <w:r>
        <w:rPr>
          <w:rFonts w:hint="eastAsia" w:ascii="仿宋" w:hAnsi="仿宋" w:eastAsia="仿宋" w:cs="仿宋_GB2312"/>
          <w:color w:val="000000"/>
          <w:kern w:val="0"/>
          <w:sz w:val="32"/>
          <w:szCs w:val="32"/>
          <w:lang w:val="en-US" w:eastAsia="zh-CN"/>
        </w:rPr>
        <w:t>2、单位自查。部门本级和直属单位，填报部门整体支出绩效评价基础数据表(附件1)、部门整体支出绩效自评表(附件2)、直属单位撰写部门整体支出绩效评价报告(附件3)，并于6月22日前报送单位财务室。</w:t>
      </w:r>
    </w:p>
    <w:p w14:paraId="5033D126">
      <w:pPr>
        <w:spacing w:line="600" w:lineRule="exact"/>
        <w:ind w:firstLine="640" w:firstLineChars="200"/>
        <w:rPr>
          <w:rFonts w:hint="eastAsia" w:ascii="仿宋" w:hAnsi="仿宋" w:eastAsia="仿宋" w:cs="仿宋_GB2312"/>
          <w:color w:val="000000"/>
          <w:kern w:val="0"/>
          <w:sz w:val="32"/>
          <w:szCs w:val="32"/>
          <w:lang w:val="en-US" w:eastAsia="zh-CN"/>
        </w:rPr>
      </w:pPr>
      <w:r>
        <w:rPr>
          <w:rFonts w:hint="eastAsia" w:ascii="仿宋" w:hAnsi="仿宋" w:eastAsia="仿宋" w:cs="仿宋_GB2312"/>
          <w:color w:val="000000"/>
          <w:kern w:val="0"/>
          <w:sz w:val="32"/>
          <w:szCs w:val="32"/>
          <w:lang w:val="en-US" w:eastAsia="zh-CN"/>
        </w:rPr>
        <w:t>3、综合分析评价。根据自评单位报送的材料，对评价对象的绩效情况进行定量、定性分析和综合评价，集体研究后形成绩效评价结论。</w:t>
      </w:r>
    </w:p>
    <w:p w14:paraId="5B58BB21">
      <w:pPr>
        <w:spacing w:line="600" w:lineRule="exact"/>
        <w:ind w:firstLine="640" w:firstLineChars="200"/>
        <w:rPr>
          <w:rFonts w:hint="eastAsia" w:ascii="仿宋" w:hAnsi="仿宋" w:eastAsia="仿宋" w:cs="仿宋_GB2312"/>
          <w:color w:val="000000"/>
          <w:kern w:val="0"/>
          <w:sz w:val="32"/>
          <w:szCs w:val="32"/>
          <w:lang w:val="en-US" w:eastAsia="zh-CN"/>
        </w:rPr>
      </w:pPr>
      <w:r>
        <w:rPr>
          <w:rFonts w:hint="eastAsia" w:ascii="仿宋" w:hAnsi="仿宋" w:eastAsia="仿宋" w:cs="仿宋_GB2312"/>
          <w:color w:val="000000"/>
          <w:kern w:val="0"/>
          <w:sz w:val="32"/>
          <w:szCs w:val="32"/>
          <w:lang w:val="en-US" w:eastAsia="zh-CN"/>
        </w:rPr>
        <w:t>4、形成报告。按照规定的文本格式和要求撰写部门整体支出绩效评价报告。</w:t>
      </w:r>
    </w:p>
    <w:p w14:paraId="254967A2">
      <w:pPr>
        <w:spacing w:line="600" w:lineRule="exact"/>
        <w:ind w:firstLine="640" w:firstLineChars="200"/>
        <w:rPr>
          <w:rFonts w:eastAsia="黑体"/>
          <w:sz w:val="32"/>
          <w:szCs w:val="32"/>
        </w:rPr>
      </w:pPr>
      <w:r>
        <w:rPr>
          <w:rFonts w:hint="eastAsia" w:ascii="黑体" w:hAnsi="黑体" w:eastAsia="黑体"/>
          <w:sz w:val="32"/>
          <w:szCs w:val="32"/>
        </w:rPr>
        <w:t>五、有关要求</w:t>
      </w:r>
    </w:p>
    <w:p w14:paraId="6820A67E">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(一)按时报送资料</w:t>
      </w:r>
    </w:p>
    <w:p w14:paraId="46429DF7">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部门本级、直属单位要按要求认真、及时完成自评工作，并</w:t>
      </w:r>
    </w:p>
    <w:p w14:paraId="73725B1F">
      <w:pPr>
        <w:spacing w:line="600" w:lineRule="exact"/>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于202</w:t>
      </w:r>
      <w:r>
        <w:rPr>
          <w:rFonts w:hint="eastAsia" w:eastAsia="仿宋_GB2312"/>
          <w:color w:val="000000" w:themeColor="text1"/>
          <w:sz w:val="32"/>
          <w:szCs w:val="32"/>
          <w:lang w:val="en-US" w:eastAsia="zh-CN"/>
          <w14:textFill>
            <w14:solidFill>
              <w14:schemeClr w14:val="tx1"/>
            </w14:solidFill>
          </w14:textFill>
        </w:rPr>
        <w:t>2</w:t>
      </w:r>
      <w:r>
        <w:rPr>
          <w:rFonts w:hint="eastAsia" w:eastAsia="仿宋_GB2312"/>
          <w:color w:val="000000" w:themeColor="text1"/>
          <w:sz w:val="32"/>
          <w:szCs w:val="32"/>
          <w:lang w:eastAsia="zh-CN"/>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6</w:t>
      </w:r>
      <w:r>
        <w:rPr>
          <w:rFonts w:hint="eastAsia" w:eastAsia="仿宋_GB2312"/>
          <w:color w:val="000000" w:themeColor="text1"/>
          <w:sz w:val="32"/>
          <w:szCs w:val="32"/>
          <w:lang w:eastAsia="zh-CN"/>
          <w14:textFill>
            <w14:solidFill>
              <w14:schemeClr w14:val="tx1"/>
            </w14:solidFill>
          </w14:textFill>
        </w:rPr>
        <w:t>月2</w:t>
      </w:r>
      <w:r>
        <w:rPr>
          <w:rFonts w:hint="eastAsia" w:eastAsia="仿宋_GB2312"/>
          <w:color w:val="000000" w:themeColor="text1"/>
          <w:sz w:val="32"/>
          <w:szCs w:val="32"/>
          <w:lang w:val="en-US" w:eastAsia="zh-CN"/>
          <w14:textFill>
            <w14:solidFill>
              <w14:schemeClr w14:val="tx1"/>
            </w14:solidFill>
          </w14:textFill>
        </w:rPr>
        <w:t>2</w:t>
      </w:r>
      <w:r>
        <w:rPr>
          <w:rFonts w:hint="eastAsia" w:eastAsia="仿宋_GB2312"/>
          <w:color w:val="000000" w:themeColor="text1"/>
          <w:sz w:val="32"/>
          <w:szCs w:val="32"/>
          <w:lang w:eastAsia="zh-CN"/>
          <w14:textFill>
            <w14:solidFill>
              <w14:schemeClr w14:val="tx1"/>
            </w14:solidFill>
          </w14:textFill>
        </w:rPr>
        <w:t>日前将部门(单位)绩效自评报告纸质版和电子版一并报送财务室(联系电话</w:t>
      </w:r>
      <w:r>
        <w:rPr>
          <w:rFonts w:hint="eastAsia" w:eastAsia="仿宋_GB2312"/>
          <w:color w:val="000000" w:themeColor="text1"/>
          <w:sz w:val="32"/>
          <w:szCs w:val="32"/>
          <w:lang w:val="en-US" w:eastAsia="zh-CN"/>
          <w14:textFill>
            <w14:solidFill>
              <w14:schemeClr w14:val="tx1"/>
            </w14:solidFill>
          </w14:textFill>
        </w:rPr>
        <w:t>8520702</w:t>
      </w:r>
      <w:r>
        <w:rPr>
          <w:rFonts w:hint="eastAsia" w:eastAsia="仿宋_GB2312"/>
          <w:color w:val="000000" w:themeColor="text1"/>
          <w:sz w:val="32"/>
          <w:szCs w:val="32"/>
          <w:lang w:eastAsia="zh-CN"/>
          <w14:textFill>
            <w14:solidFill>
              <w14:schemeClr w14:val="tx1"/>
            </w14:solidFill>
          </w14:textFill>
        </w:rPr>
        <w:t>)，自评材料纸质版需加盖部门行政公章。</w:t>
      </w:r>
    </w:p>
    <w:p w14:paraId="7C79DB5C">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(二)确保评价质量</w:t>
      </w:r>
    </w:p>
    <w:p w14:paraId="0CBE586A">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本单位成立财务室牵头，相关业务股室分工负责的绩效自评</w:t>
      </w:r>
    </w:p>
    <w:p w14:paraId="367ED5E2">
      <w:pPr>
        <w:spacing w:line="600" w:lineRule="exact"/>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工作小组，并明确专人负责，具体组织开展绩效自评工作。直属</w:t>
      </w:r>
    </w:p>
    <w:p w14:paraId="62417DFF">
      <w:pPr>
        <w:spacing w:line="600" w:lineRule="exact"/>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单位、相关项目单位要认真组织开展预算资金绩效自评，相关数</w:t>
      </w:r>
    </w:p>
    <w:p w14:paraId="0CFA1FEE">
      <w:pPr>
        <w:spacing w:line="600" w:lineRule="exact"/>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据务必客观、准确、全面、完整，并对上报材料的真实性、准确</w:t>
      </w:r>
    </w:p>
    <w:p w14:paraId="0E3B462E">
      <w:pPr>
        <w:spacing w:line="600" w:lineRule="exact"/>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性负责。</w:t>
      </w:r>
    </w:p>
    <w:p w14:paraId="0251FBE3">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(三)加强结果应用</w:t>
      </w:r>
    </w:p>
    <w:p w14:paraId="350C19A9">
      <w:pPr>
        <w:spacing w:line="600" w:lineRule="exact"/>
        <w:ind w:firstLine="640" w:firstLineChars="200"/>
        <w:rPr>
          <w:rFonts w:hint="eastAsia" w:eastAsia="仿宋_GB2312"/>
          <w:sz w:val="32"/>
          <w:szCs w:val="32"/>
        </w:rPr>
      </w:pPr>
      <w:r>
        <w:rPr>
          <w:rFonts w:hint="eastAsia" w:eastAsia="仿宋_GB2312"/>
          <w:color w:val="000000" w:themeColor="text1"/>
          <w:sz w:val="32"/>
          <w:szCs w:val="32"/>
          <w:lang w:eastAsia="zh-CN"/>
          <w14:textFill>
            <w14:solidFill>
              <w14:schemeClr w14:val="tx1"/>
            </w14:solidFill>
          </w14:textFill>
        </w:rPr>
        <w:t>一是全面公开。部门整体支出绩效自评报告将于6月30日前通过门户网站公开，接受社会监督。二是及时反馈整改。对于自评过程中发现的问题，应当及时整改到位，对于整改不落实或不到位的，将根据情况调整或收回项目资金。三是建立自评结果和项目安排挂钩机制，将自评结果应用到下一年度的资金安排和项目立项中，真正体现奖优罚劣的绩效导向。</w:t>
      </w:r>
    </w:p>
    <w:p w14:paraId="385A15BD">
      <w:pPr>
        <w:spacing w:line="600" w:lineRule="exact"/>
        <w:ind w:firstLine="640" w:firstLineChars="200"/>
        <w:rPr>
          <w:rFonts w:hint="eastAsia" w:eastAsia="仿宋_GB2312"/>
          <w:sz w:val="32"/>
          <w:szCs w:val="32"/>
        </w:rPr>
      </w:pPr>
    </w:p>
    <w:p w14:paraId="030D72A1">
      <w:pPr>
        <w:spacing w:line="600" w:lineRule="exact"/>
        <w:ind w:firstLine="640" w:firstLineChars="200"/>
        <w:rPr>
          <w:rFonts w:eastAsia="仿宋_GB2312"/>
          <w:sz w:val="32"/>
          <w:szCs w:val="32"/>
        </w:rPr>
      </w:pPr>
      <w:r>
        <w:rPr>
          <w:rFonts w:hint="eastAsia" w:eastAsia="仿宋_GB2312"/>
          <w:sz w:val="32"/>
          <w:szCs w:val="32"/>
        </w:rPr>
        <w:t>1．</w:t>
      </w:r>
      <w:r>
        <w:rPr>
          <w:rFonts w:ascii="仿宋_GB2312" w:eastAsia="仿宋_GB2312"/>
          <w:sz w:val="32"/>
          <w:szCs w:val="32"/>
        </w:rPr>
        <w:t>市级</w:t>
      </w:r>
      <w:r>
        <w:rPr>
          <w:rFonts w:hint="eastAsia" w:ascii="仿宋_GB2312" w:eastAsia="仿宋_GB2312"/>
          <w:sz w:val="32"/>
          <w:szCs w:val="32"/>
        </w:rPr>
        <w:t>预算部门项目支出绩效自评表</w:t>
      </w:r>
    </w:p>
    <w:p w14:paraId="78472182">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w:t>
      </w:r>
      <w:r>
        <w:rPr>
          <w:rFonts w:ascii="仿宋_GB2312" w:eastAsia="仿宋_GB2312"/>
          <w:sz w:val="32"/>
          <w:szCs w:val="32"/>
        </w:rPr>
        <w:t>部门（单位）</w:t>
      </w:r>
      <w:r>
        <w:rPr>
          <w:rFonts w:eastAsia="仿宋_GB2312"/>
          <w:sz w:val="32"/>
          <w:szCs w:val="32"/>
        </w:rPr>
        <w:t>××</w:t>
      </w:r>
      <w:r>
        <w:rPr>
          <w:rFonts w:ascii="仿宋_GB2312" w:eastAsia="仿宋_GB2312"/>
          <w:sz w:val="32"/>
          <w:szCs w:val="32"/>
        </w:rPr>
        <w:t>年度</w:t>
      </w:r>
      <w:r>
        <w:rPr>
          <w:rFonts w:eastAsia="仿宋_GB2312"/>
          <w:sz w:val="32"/>
          <w:szCs w:val="32"/>
        </w:rPr>
        <w:t>××</w:t>
      </w:r>
      <w:r>
        <w:rPr>
          <w:rFonts w:ascii="仿宋_GB2312" w:eastAsia="仿宋_GB2312"/>
          <w:sz w:val="32"/>
          <w:szCs w:val="32"/>
        </w:rPr>
        <w:t>项目支出绩效自评报告</w:t>
      </w:r>
    </w:p>
    <w:p w14:paraId="3F6FB84A">
      <w:pPr>
        <w:spacing w:line="600" w:lineRule="exact"/>
        <w:ind w:firstLine="1273" w:firstLineChars="436"/>
        <w:rPr>
          <w:rFonts w:eastAsia="仿宋_GB2312"/>
          <w:spacing w:val="-14"/>
          <w:sz w:val="32"/>
          <w:szCs w:val="32"/>
        </w:rPr>
      </w:pPr>
      <w:r>
        <w:rPr>
          <w:rFonts w:eastAsia="仿宋_GB2312"/>
          <w:spacing w:val="-14"/>
          <w:sz w:val="32"/>
          <w:szCs w:val="32"/>
        </w:rPr>
        <w:t xml:space="preserve"> </w:t>
      </w:r>
    </w:p>
    <w:p w14:paraId="184D8201">
      <w:pPr>
        <w:spacing w:line="600" w:lineRule="exact"/>
        <w:ind w:firstLine="1273" w:firstLineChars="436"/>
        <w:rPr>
          <w:rFonts w:hint="eastAsia" w:ascii="仿宋_GB2312"/>
          <w:spacing w:val="-14"/>
          <w:sz w:val="32"/>
          <w:szCs w:val="32"/>
        </w:rPr>
      </w:pPr>
    </w:p>
    <w:p w14:paraId="3B7058B3">
      <w:pPr>
        <w:spacing w:line="600" w:lineRule="exact"/>
        <w:ind w:firstLine="1273" w:firstLineChars="436"/>
        <w:rPr>
          <w:rFonts w:hint="eastAsia" w:ascii="仿宋_GB2312"/>
          <w:spacing w:val="-14"/>
          <w:sz w:val="32"/>
          <w:szCs w:val="32"/>
        </w:rPr>
      </w:pPr>
    </w:p>
    <w:p w14:paraId="67DEB4F8">
      <w:pPr>
        <w:spacing w:line="600" w:lineRule="exact"/>
        <w:ind w:firstLine="1273" w:firstLineChars="436"/>
        <w:rPr>
          <w:rFonts w:hint="eastAsia" w:ascii="仿宋_GB2312"/>
          <w:spacing w:val="-14"/>
          <w:sz w:val="32"/>
          <w:szCs w:val="32"/>
        </w:rPr>
      </w:pPr>
    </w:p>
    <w:p w14:paraId="0DF000E4">
      <w:pPr>
        <w:spacing w:line="600" w:lineRule="exact"/>
        <w:rPr>
          <w:rFonts w:hint="eastAsia" w:ascii="仿宋_GB2312"/>
          <w:spacing w:val="-14"/>
          <w:sz w:val="32"/>
          <w:szCs w:val="32"/>
        </w:rPr>
      </w:pPr>
    </w:p>
    <w:p w14:paraId="4959690A">
      <w:pPr>
        <w:pStyle w:val="2"/>
        <w:rPr>
          <w:rFonts w:hint="eastAsia" w:ascii="仿宋_GB2312"/>
          <w:spacing w:val="-14"/>
          <w:sz w:val="32"/>
          <w:szCs w:val="32"/>
        </w:rPr>
      </w:pPr>
    </w:p>
    <w:p w14:paraId="0A7AC7BD">
      <w:pPr>
        <w:pStyle w:val="3"/>
        <w:rPr>
          <w:rFonts w:hint="eastAsia" w:ascii="仿宋_GB2312"/>
          <w:spacing w:val="-14"/>
          <w:sz w:val="32"/>
          <w:szCs w:val="32"/>
          <w:lang w:val="en-US" w:eastAsia="zh-CN"/>
        </w:rPr>
      </w:pPr>
      <w:r>
        <w:rPr>
          <w:rFonts w:hint="eastAsia" w:ascii="仿宋_GB2312"/>
          <w:spacing w:val="-14"/>
          <w:sz w:val="32"/>
          <w:szCs w:val="32"/>
          <w:lang w:val="en-US" w:eastAsia="zh-CN"/>
        </w:rPr>
        <w:t xml:space="preserve">                        吉首市人大常委会办公室</w:t>
      </w:r>
    </w:p>
    <w:p w14:paraId="067EF012">
      <w:pPr>
        <w:ind w:firstLine="5548" w:firstLineChars="1900"/>
        <w:rPr>
          <w:rFonts w:hint="default"/>
          <w:lang w:val="en-US" w:eastAsia="zh-CN"/>
        </w:rPr>
      </w:pPr>
      <w:r>
        <w:rPr>
          <w:rFonts w:hint="eastAsia" w:ascii="仿宋_GB2312"/>
          <w:spacing w:val="-14"/>
          <w:sz w:val="32"/>
          <w:szCs w:val="32"/>
          <w:lang w:val="en-US" w:eastAsia="zh-CN"/>
        </w:rPr>
        <w:t>2022年6月22日</w:t>
      </w:r>
    </w:p>
    <w:p w14:paraId="00712608">
      <w:pPr>
        <w:spacing w:line="600" w:lineRule="exact"/>
        <w:ind w:firstLine="1273" w:firstLineChars="436"/>
        <w:rPr>
          <w:rFonts w:hint="eastAsia" w:ascii="仿宋_GB2312"/>
          <w:spacing w:val="-14"/>
          <w:sz w:val="32"/>
          <w:szCs w:val="32"/>
        </w:rPr>
      </w:pPr>
    </w:p>
    <w:p w14:paraId="0EECE24F">
      <w:pPr>
        <w:spacing w:line="600" w:lineRule="exact"/>
        <w:ind w:firstLine="1273" w:firstLineChars="436"/>
        <w:rPr>
          <w:rFonts w:hint="eastAsia" w:ascii="仿宋_GB2312"/>
          <w:spacing w:val="-14"/>
          <w:sz w:val="32"/>
          <w:szCs w:val="32"/>
        </w:rPr>
      </w:pPr>
    </w:p>
    <w:p w14:paraId="37768703">
      <w:pPr>
        <w:spacing w:line="600" w:lineRule="exact"/>
        <w:ind w:firstLine="1273" w:firstLineChars="436"/>
        <w:rPr>
          <w:rFonts w:hint="eastAsia" w:ascii="仿宋_GB2312"/>
          <w:spacing w:val="-14"/>
          <w:sz w:val="32"/>
          <w:szCs w:val="32"/>
        </w:rPr>
      </w:pPr>
    </w:p>
    <w:p w14:paraId="6CADE218">
      <w:pPr>
        <w:spacing w:line="600" w:lineRule="exact"/>
        <w:ind w:firstLine="1273" w:firstLineChars="436"/>
        <w:rPr>
          <w:rFonts w:hint="eastAsia" w:ascii="仿宋_GB2312"/>
          <w:spacing w:val="-14"/>
          <w:sz w:val="32"/>
          <w:szCs w:val="32"/>
        </w:rPr>
      </w:pPr>
    </w:p>
    <w:p w14:paraId="5813E668">
      <w:pPr>
        <w:spacing w:line="600" w:lineRule="exact"/>
        <w:rPr>
          <w:rFonts w:ascii="黑体" w:hAnsi="黑体" w:eastAsia="黑体"/>
          <w:sz w:val="32"/>
          <w:szCs w:val="32"/>
        </w:rPr>
      </w:pPr>
      <w:r>
        <w:rPr>
          <w:rFonts w:hint="eastAsia" w:ascii="仿宋_GB2312"/>
          <w:spacing w:val="-14"/>
          <w:sz w:val="32"/>
          <w:szCs w:val="32"/>
        </w:rPr>
        <w:t xml:space="preserve"> </w:t>
      </w:r>
    </w:p>
    <w:p w14:paraId="5577F27E">
      <w:pPr>
        <w:spacing w:before="318" w:beforeLines="50"/>
        <w:rPr>
          <w:rFonts w:hint="eastAsia" w:ascii="黑体" w:hAnsi="黑体" w:eastAsia="黑体"/>
          <w:sz w:val="32"/>
          <w:szCs w:val="32"/>
        </w:rPr>
      </w:pPr>
    </w:p>
    <w:p w14:paraId="69DFE672">
      <w:pPr>
        <w:spacing w:before="318" w:beforeLines="50"/>
        <w:rPr>
          <w:rFonts w:ascii="黑体" w:hAnsi="黑体" w:eastAsia="黑体"/>
          <w:sz w:val="32"/>
          <w:szCs w:val="32"/>
        </w:rPr>
      </w:pPr>
      <w:r>
        <w:rPr>
          <w:rFonts w:hint="eastAsia" w:ascii="黑体" w:hAnsi="黑体" w:eastAsia="黑体"/>
          <w:sz w:val="32"/>
          <w:szCs w:val="32"/>
        </w:rPr>
        <w:t>附件2-2</w:t>
      </w:r>
    </w:p>
    <w:p w14:paraId="7E9B7D25">
      <w:pPr>
        <w:spacing w:line="380" w:lineRule="exact"/>
        <w:ind w:firstLine="1800" w:firstLineChars="500"/>
        <w:rPr>
          <w:rFonts w:ascii="方正小标宋简体" w:eastAsia="方正小标宋简体"/>
          <w:color w:val="000000"/>
          <w:sz w:val="36"/>
          <w:szCs w:val="36"/>
        </w:rPr>
      </w:pPr>
      <w:r>
        <w:rPr>
          <w:rFonts w:hint="eastAsia" w:ascii="方正小标宋简体" w:eastAsia="方正小标宋简体"/>
          <w:sz w:val="36"/>
          <w:szCs w:val="36"/>
        </w:rPr>
        <w:t>市级预算</w:t>
      </w:r>
      <w:r>
        <w:rPr>
          <w:rFonts w:hint="eastAsia" w:ascii="方正小标宋简体" w:eastAsia="方正小标宋简体"/>
          <w:color w:val="000000"/>
          <w:sz w:val="36"/>
          <w:szCs w:val="36"/>
        </w:rPr>
        <w:t>部门项目支出绩效自评表</w:t>
      </w:r>
    </w:p>
    <w:p w14:paraId="074F8E08">
      <w:pPr>
        <w:spacing w:line="380" w:lineRule="exact"/>
        <w:ind w:firstLine="3520" w:firstLineChars="1100"/>
        <w:rPr>
          <w:rFonts w:ascii="方正小标宋简体" w:eastAsia="方正小标宋简体"/>
          <w:kern w:val="0"/>
          <w:sz w:val="36"/>
          <w:szCs w:val="36"/>
        </w:rPr>
      </w:pPr>
      <w:r>
        <w:rPr>
          <w:rFonts w:hint="eastAsia" w:ascii="楷体_GB2312" w:eastAsia="楷体_GB2312"/>
          <w:kern w:val="0"/>
          <w:sz w:val="32"/>
          <w:szCs w:val="32"/>
        </w:rPr>
        <w:t>（</w:t>
      </w:r>
      <w:r>
        <w:rPr>
          <w:rFonts w:hint="eastAsia" w:ascii="楷体_GB2312" w:eastAsia="楷体_GB2312"/>
          <w:kern w:val="0"/>
          <w:sz w:val="32"/>
          <w:szCs w:val="32"/>
          <w:lang w:val="en-US" w:eastAsia="zh-CN"/>
        </w:rPr>
        <w:t>2021</w:t>
      </w:r>
      <w:r>
        <w:rPr>
          <w:rFonts w:hint="eastAsia" w:ascii="楷体_GB2312" w:eastAsia="楷体_GB2312"/>
          <w:kern w:val="0"/>
          <w:sz w:val="32"/>
          <w:szCs w:val="32"/>
        </w:rPr>
        <w:t>年度）</w:t>
      </w:r>
    </w:p>
    <w:tbl>
      <w:tblPr>
        <w:tblStyle w:val="9"/>
        <w:tblW w:w="9124" w:type="dxa"/>
        <w:jc w:val="center"/>
        <w:tblLayout w:type="fixed"/>
        <w:tblCellMar>
          <w:top w:w="0" w:type="dxa"/>
          <w:left w:w="108" w:type="dxa"/>
          <w:bottom w:w="0" w:type="dxa"/>
          <w:right w:w="108" w:type="dxa"/>
        </w:tblCellMar>
      </w:tblPr>
      <w:tblGrid>
        <w:gridCol w:w="591"/>
        <w:gridCol w:w="985"/>
        <w:gridCol w:w="1117"/>
        <w:gridCol w:w="734"/>
        <w:gridCol w:w="1139"/>
        <w:gridCol w:w="402"/>
        <w:gridCol w:w="865"/>
        <w:gridCol w:w="727"/>
        <w:gridCol w:w="284"/>
        <w:gridCol w:w="286"/>
        <w:gridCol w:w="426"/>
        <w:gridCol w:w="144"/>
        <w:gridCol w:w="711"/>
        <w:gridCol w:w="713"/>
      </w:tblGrid>
      <w:tr w14:paraId="4A5EB11D">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554D94F3">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项目名称</w:t>
            </w:r>
          </w:p>
        </w:tc>
        <w:tc>
          <w:tcPr>
            <w:tcW w:w="7548" w:type="dxa"/>
            <w:gridSpan w:val="12"/>
            <w:tcBorders>
              <w:top w:val="single" w:color="auto" w:sz="4" w:space="0"/>
              <w:left w:val="nil"/>
              <w:bottom w:val="single" w:color="auto" w:sz="4" w:space="0"/>
              <w:right w:val="single" w:color="auto" w:sz="4" w:space="0"/>
            </w:tcBorders>
            <w:noWrap w:val="0"/>
            <w:vAlign w:val="center"/>
          </w:tcPr>
          <w:p w14:paraId="13A5E664">
            <w:pPr>
              <w:widowControl/>
              <w:spacing w:line="240" w:lineRule="exact"/>
              <w:jc w:val="center"/>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人大会议费</w:t>
            </w:r>
          </w:p>
        </w:tc>
      </w:tr>
      <w:tr w14:paraId="5482778C">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4C8DE920">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主管部门</w:t>
            </w:r>
          </w:p>
        </w:tc>
        <w:tc>
          <w:tcPr>
            <w:tcW w:w="4257" w:type="dxa"/>
            <w:gridSpan w:val="5"/>
            <w:tcBorders>
              <w:top w:val="single" w:color="auto" w:sz="4" w:space="0"/>
              <w:left w:val="nil"/>
              <w:bottom w:val="single" w:color="auto" w:sz="4" w:space="0"/>
              <w:right w:val="single" w:color="auto" w:sz="4" w:space="0"/>
            </w:tcBorders>
            <w:noWrap w:val="0"/>
            <w:vAlign w:val="center"/>
          </w:tcPr>
          <w:p w14:paraId="10145EE6">
            <w:pPr>
              <w:widowControl/>
              <w:spacing w:line="240" w:lineRule="exact"/>
              <w:jc w:val="center"/>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吉首市人大</w:t>
            </w:r>
          </w:p>
        </w:tc>
        <w:tc>
          <w:tcPr>
            <w:tcW w:w="1011" w:type="dxa"/>
            <w:gridSpan w:val="2"/>
            <w:tcBorders>
              <w:top w:val="nil"/>
              <w:left w:val="nil"/>
              <w:bottom w:val="single" w:color="auto" w:sz="4" w:space="0"/>
              <w:right w:val="single" w:color="auto" w:sz="4" w:space="0"/>
            </w:tcBorders>
            <w:noWrap w:val="0"/>
            <w:vAlign w:val="center"/>
          </w:tcPr>
          <w:p w14:paraId="2CB0FEB6">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实施单位</w:t>
            </w:r>
          </w:p>
        </w:tc>
        <w:tc>
          <w:tcPr>
            <w:tcW w:w="2280" w:type="dxa"/>
            <w:gridSpan w:val="5"/>
            <w:tcBorders>
              <w:top w:val="single" w:color="auto" w:sz="4" w:space="0"/>
              <w:left w:val="nil"/>
              <w:bottom w:val="single" w:color="auto" w:sz="4" w:space="0"/>
              <w:right w:val="single" w:color="auto" w:sz="4" w:space="0"/>
            </w:tcBorders>
            <w:noWrap w:val="0"/>
            <w:vAlign w:val="center"/>
          </w:tcPr>
          <w:p w14:paraId="56B414E0">
            <w:pPr>
              <w:widowControl/>
              <w:spacing w:line="240" w:lineRule="exact"/>
              <w:jc w:val="center"/>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吉首市人大</w:t>
            </w:r>
          </w:p>
        </w:tc>
      </w:tr>
      <w:tr w14:paraId="3E3096D5">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noWrap w:val="0"/>
            <w:vAlign w:val="center"/>
          </w:tcPr>
          <w:p w14:paraId="7C0CE8C3">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项目资金</w:t>
            </w:r>
            <w:r>
              <w:rPr>
                <w:rFonts w:hint="eastAsia" w:ascii="仿宋_GB2312" w:hAnsi="宋体" w:eastAsia="仿宋_GB2312"/>
                <w:kern w:val="0"/>
                <w:sz w:val="18"/>
                <w:szCs w:val="18"/>
              </w:rPr>
              <w:br w:type="textWrapping"/>
            </w:r>
            <w:r>
              <w:rPr>
                <w:rFonts w:hint="eastAsia" w:ascii="仿宋_GB2312" w:hAnsi="宋体" w:eastAsia="仿宋_GB2312"/>
                <w:kern w:val="0"/>
                <w:sz w:val="18"/>
                <w:szCs w:val="18"/>
              </w:rPr>
              <w:t>（万元）</w:t>
            </w:r>
          </w:p>
        </w:tc>
        <w:tc>
          <w:tcPr>
            <w:tcW w:w="1851" w:type="dxa"/>
            <w:gridSpan w:val="2"/>
            <w:tcBorders>
              <w:top w:val="single" w:color="auto" w:sz="4" w:space="0"/>
              <w:left w:val="nil"/>
              <w:bottom w:val="single" w:color="auto" w:sz="4" w:space="0"/>
              <w:right w:val="single" w:color="auto" w:sz="4" w:space="0"/>
            </w:tcBorders>
            <w:noWrap w:val="0"/>
            <w:vAlign w:val="center"/>
          </w:tcPr>
          <w:p w14:paraId="6F4D5A30">
            <w:pPr>
              <w:widowControl/>
              <w:spacing w:line="240" w:lineRule="exact"/>
              <w:jc w:val="center"/>
              <w:rPr>
                <w:rFonts w:ascii="仿宋_GB2312" w:hAnsi="宋体" w:eastAsia="仿宋_GB2312"/>
                <w:kern w:val="0"/>
                <w:sz w:val="18"/>
                <w:szCs w:val="18"/>
              </w:rPr>
            </w:pPr>
          </w:p>
        </w:tc>
        <w:tc>
          <w:tcPr>
            <w:tcW w:w="1139" w:type="dxa"/>
            <w:tcBorders>
              <w:top w:val="nil"/>
              <w:left w:val="nil"/>
              <w:bottom w:val="single" w:color="auto" w:sz="4" w:space="0"/>
              <w:right w:val="single" w:color="auto" w:sz="4" w:space="0"/>
            </w:tcBorders>
            <w:noWrap w:val="0"/>
            <w:vAlign w:val="center"/>
          </w:tcPr>
          <w:p w14:paraId="7C92C89D">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年初预算数(万元)</w:t>
            </w:r>
          </w:p>
        </w:tc>
        <w:tc>
          <w:tcPr>
            <w:tcW w:w="1267" w:type="dxa"/>
            <w:gridSpan w:val="2"/>
            <w:tcBorders>
              <w:top w:val="nil"/>
              <w:left w:val="nil"/>
              <w:bottom w:val="single" w:color="auto" w:sz="4" w:space="0"/>
              <w:right w:val="single" w:color="auto" w:sz="4" w:space="0"/>
            </w:tcBorders>
            <w:noWrap w:val="0"/>
            <w:vAlign w:val="center"/>
          </w:tcPr>
          <w:p w14:paraId="78C7A797">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全年预算数(万元)</w:t>
            </w:r>
          </w:p>
        </w:tc>
        <w:tc>
          <w:tcPr>
            <w:tcW w:w="1011" w:type="dxa"/>
            <w:gridSpan w:val="2"/>
            <w:tcBorders>
              <w:top w:val="nil"/>
              <w:left w:val="nil"/>
              <w:bottom w:val="single" w:color="auto" w:sz="4" w:space="0"/>
              <w:right w:val="single" w:color="auto" w:sz="4" w:space="0"/>
            </w:tcBorders>
            <w:noWrap w:val="0"/>
            <w:vAlign w:val="center"/>
          </w:tcPr>
          <w:p w14:paraId="70051A9B">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全年执行数(万元)</w:t>
            </w:r>
          </w:p>
        </w:tc>
        <w:tc>
          <w:tcPr>
            <w:tcW w:w="712" w:type="dxa"/>
            <w:gridSpan w:val="2"/>
            <w:tcBorders>
              <w:top w:val="nil"/>
              <w:left w:val="nil"/>
              <w:bottom w:val="single" w:color="auto" w:sz="4" w:space="0"/>
              <w:right w:val="single" w:color="auto" w:sz="4" w:space="0"/>
            </w:tcBorders>
            <w:noWrap w:val="0"/>
            <w:vAlign w:val="center"/>
          </w:tcPr>
          <w:p w14:paraId="5AB66202">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分值</w:t>
            </w:r>
          </w:p>
        </w:tc>
        <w:tc>
          <w:tcPr>
            <w:tcW w:w="855" w:type="dxa"/>
            <w:gridSpan w:val="2"/>
            <w:tcBorders>
              <w:top w:val="single" w:color="auto" w:sz="4" w:space="0"/>
              <w:left w:val="nil"/>
              <w:bottom w:val="single" w:color="auto" w:sz="4" w:space="0"/>
              <w:right w:val="single" w:color="auto" w:sz="4" w:space="0"/>
            </w:tcBorders>
            <w:noWrap w:val="0"/>
            <w:vAlign w:val="center"/>
          </w:tcPr>
          <w:p w14:paraId="1C8010B5">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执行率</w:t>
            </w:r>
          </w:p>
        </w:tc>
        <w:tc>
          <w:tcPr>
            <w:tcW w:w="713" w:type="dxa"/>
            <w:tcBorders>
              <w:top w:val="nil"/>
              <w:left w:val="nil"/>
              <w:bottom w:val="single" w:color="auto" w:sz="4" w:space="0"/>
              <w:right w:val="single" w:color="auto" w:sz="4" w:space="0"/>
            </w:tcBorders>
            <w:noWrap w:val="0"/>
            <w:vAlign w:val="center"/>
          </w:tcPr>
          <w:p w14:paraId="4411E0D5">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得分</w:t>
            </w:r>
          </w:p>
        </w:tc>
      </w:tr>
      <w:tr w14:paraId="160D5021">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2A9FB6E1">
            <w:pPr>
              <w:widowControl/>
              <w:spacing w:line="240" w:lineRule="exact"/>
              <w:jc w:val="left"/>
              <w:rPr>
                <w:rFonts w:ascii="仿宋_GB2312" w:hAnsi="宋体" w:eastAsia="仿宋_GB2312"/>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750C3030">
            <w:pPr>
              <w:widowControl/>
              <w:spacing w:line="240" w:lineRule="exact"/>
              <w:rPr>
                <w:rFonts w:ascii="仿宋_GB2312" w:hAnsi="宋体" w:eastAsia="仿宋_GB2312"/>
                <w:kern w:val="0"/>
                <w:sz w:val="18"/>
                <w:szCs w:val="18"/>
              </w:rPr>
            </w:pPr>
            <w:r>
              <w:rPr>
                <w:rFonts w:hint="eastAsia" w:ascii="仿宋_GB2312" w:hAnsi="宋体" w:eastAsia="仿宋_GB2312"/>
                <w:kern w:val="0"/>
                <w:sz w:val="18"/>
                <w:szCs w:val="18"/>
              </w:rPr>
              <w:t>年度资金总额</w:t>
            </w:r>
          </w:p>
        </w:tc>
        <w:tc>
          <w:tcPr>
            <w:tcW w:w="1139" w:type="dxa"/>
            <w:tcBorders>
              <w:top w:val="nil"/>
              <w:left w:val="nil"/>
              <w:bottom w:val="single" w:color="auto" w:sz="4" w:space="0"/>
              <w:right w:val="single" w:color="auto" w:sz="4" w:space="0"/>
            </w:tcBorders>
            <w:noWrap w:val="0"/>
            <w:vAlign w:val="center"/>
          </w:tcPr>
          <w:p w14:paraId="70B6C812">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48</w:t>
            </w:r>
          </w:p>
        </w:tc>
        <w:tc>
          <w:tcPr>
            <w:tcW w:w="1267" w:type="dxa"/>
            <w:gridSpan w:val="2"/>
            <w:tcBorders>
              <w:top w:val="nil"/>
              <w:left w:val="nil"/>
              <w:bottom w:val="single" w:color="auto" w:sz="4" w:space="0"/>
              <w:right w:val="single" w:color="auto" w:sz="4" w:space="0"/>
            </w:tcBorders>
            <w:noWrap w:val="0"/>
            <w:vAlign w:val="center"/>
          </w:tcPr>
          <w:p w14:paraId="40D1CE08">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80</w:t>
            </w:r>
          </w:p>
        </w:tc>
        <w:tc>
          <w:tcPr>
            <w:tcW w:w="1011" w:type="dxa"/>
            <w:gridSpan w:val="2"/>
            <w:tcBorders>
              <w:top w:val="nil"/>
              <w:left w:val="nil"/>
              <w:bottom w:val="single" w:color="auto" w:sz="4" w:space="0"/>
              <w:right w:val="single" w:color="auto" w:sz="4" w:space="0"/>
            </w:tcBorders>
            <w:noWrap w:val="0"/>
            <w:vAlign w:val="center"/>
          </w:tcPr>
          <w:p w14:paraId="6B0DCA77">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80</w:t>
            </w:r>
          </w:p>
        </w:tc>
        <w:tc>
          <w:tcPr>
            <w:tcW w:w="712" w:type="dxa"/>
            <w:gridSpan w:val="2"/>
            <w:tcBorders>
              <w:top w:val="nil"/>
              <w:left w:val="nil"/>
              <w:bottom w:val="single" w:color="auto" w:sz="4" w:space="0"/>
              <w:right w:val="single" w:color="auto" w:sz="4" w:space="0"/>
            </w:tcBorders>
            <w:noWrap w:val="0"/>
            <w:vAlign w:val="center"/>
          </w:tcPr>
          <w:p w14:paraId="1BD2C6EB">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c>
          <w:tcPr>
            <w:tcW w:w="855" w:type="dxa"/>
            <w:gridSpan w:val="2"/>
            <w:tcBorders>
              <w:top w:val="single" w:color="auto" w:sz="4" w:space="0"/>
              <w:left w:val="nil"/>
              <w:bottom w:val="single" w:color="auto" w:sz="4" w:space="0"/>
              <w:right w:val="single" w:color="auto" w:sz="4" w:space="0"/>
            </w:tcBorders>
            <w:noWrap w:val="0"/>
            <w:vAlign w:val="center"/>
          </w:tcPr>
          <w:p w14:paraId="31CD693E">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100%</w:t>
            </w:r>
          </w:p>
        </w:tc>
        <w:tc>
          <w:tcPr>
            <w:tcW w:w="713" w:type="dxa"/>
            <w:tcBorders>
              <w:top w:val="nil"/>
              <w:left w:val="nil"/>
              <w:bottom w:val="single" w:color="auto" w:sz="4" w:space="0"/>
              <w:right w:val="single" w:color="auto" w:sz="4" w:space="0"/>
            </w:tcBorders>
            <w:noWrap w:val="0"/>
            <w:vAlign w:val="center"/>
          </w:tcPr>
          <w:p w14:paraId="7511904C">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w:t>
            </w:r>
          </w:p>
        </w:tc>
      </w:tr>
      <w:tr w14:paraId="07897664">
        <w:tblPrEx>
          <w:tblCellMar>
            <w:top w:w="0" w:type="dxa"/>
            <w:left w:w="108" w:type="dxa"/>
            <w:bottom w:w="0" w:type="dxa"/>
            <w:right w:w="108" w:type="dxa"/>
          </w:tblCellMar>
        </w:tblPrEx>
        <w:trPr>
          <w:trHeight w:val="192"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56ECB179">
            <w:pPr>
              <w:widowControl/>
              <w:spacing w:line="240" w:lineRule="exact"/>
              <w:jc w:val="left"/>
              <w:rPr>
                <w:rFonts w:ascii="仿宋_GB2312" w:hAnsi="宋体" w:eastAsia="仿宋_GB2312"/>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50C8F690">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其中：当年财政拨款</w:t>
            </w:r>
          </w:p>
        </w:tc>
        <w:tc>
          <w:tcPr>
            <w:tcW w:w="1139" w:type="dxa"/>
            <w:tcBorders>
              <w:top w:val="nil"/>
              <w:left w:val="nil"/>
              <w:bottom w:val="single" w:color="auto" w:sz="4" w:space="0"/>
              <w:right w:val="single" w:color="auto" w:sz="4" w:space="0"/>
            </w:tcBorders>
            <w:noWrap w:val="0"/>
            <w:vAlign w:val="center"/>
          </w:tcPr>
          <w:p w14:paraId="1583CE41">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80</w:t>
            </w:r>
          </w:p>
        </w:tc>
        <w:tc>
          <w:tcPr>
            <w:tcW w:w="1267" w:type="dxa"/>
            <w:gridSpan w:val="2"/>
            <w:tcBorders>
              <w:top w:val="nil"/>
              <w:left w:val="nil"/>
              <w:bottom w:val="single" w:color="auto" w:sz="4" w:space="0"/>
              <w:right w:val="single" w:color="auto" w:sz="4" w:space="0"/>
            </w:tcBorders>
            <w:noWrap w:val="0"/>
            <w:vAlign w:val="center"/>
          </w:tcPr>
          <w:p w14:paraId="53B45B82">
            <w:pPr>
              <w:widowControl/>
              <w:spacing w:line="240" w:lineRule="exact"/>
              <w:jc w:val="center"/>
              <w:rPr>
                <w:rFonts w:ascii="仿宋_GB2312" w:hAnsi="宋体" w:eastAsia="仿宋_GB2312"/>
                <w:kern w:val="0"/>
                <w:sz w:val="18"/>
                <w:szCs w:val="18"/>
              </w:rPr>
            </w:pPr>
          </w:p>
        </w:tc>
        <w:tc>
          <w:tcPr>
            <w:tcW w:w="1011" w:type="dxa"/>
            <w:gridSpan w:val="2"/>
            <w:tcBorders>
              <w:top w:val="nil"/>
              <w:left w:val="nil"/>
              <w:bottom w:val="single" w:color="auto" w:sz="4" w:space="0"/>
              <w:right w:val="single" w:color="auto" w:sz="4" w:space="0"/>
            </w:tcBorders>
            <w:noWrap w:val="0"/>
            <w:vAlign w:val="center"/>
          </w:tcPr>
          <w:p w14:paraId="6DE6D35D">
            <w:pPr>
              <w:widowControl/>
              <w:spacing w:line="240" w:lineRule="exact"/>
              <w:jc w:val="center"/>
              <w:rPr>
                <w:rFonts w:ascii="仿宋_GB2312" w:hAnsi="宋体"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633FD68E">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32455D1A">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713" w:type="dxa"/>
            <w:tcBorders>
              <w:top w:val="nil"/>
              <w:left w:val="nil"/>
              <w:bottom w:val="single" w:color="auto" w:sz="4" w:space="0"/>
              <w:right w:val="single" w:color="auto" w:sz="4" w:space="0"/>
            </w:tcBorders>
            <w:noWrap w:val="0"/>
            <w:vAlign w:val="center"/>
          </w:tcPr>
          <w:p w14:paraId="1B3EC27D">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14:paraId="645677A5">
        <w:tblPrEx>
          <w:tblCellMar>
            <w:top w:w="0" w:type="dxa"/>
            <w:left w:w="108" w:type="dxa"/>
            <w:bottom w:w="0" w:type="dxa"/>
            <w:right w:w="108" w:type="dxa"/>
          </w:tblCellMar>
        </w:tblPrEx>
        <w:trPr>
          <w:trHeight w:val="224"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73B5BDF9">
            <w:pPr>
              <w:widowControl/>
              <w:spacing w:line="240" w:lineRule="exact"/>
              <w:jc w:val="left"/>
              <w:rPr>
                <w:rFonts w:ascii="仿宋_GB2312" w:hAnsi="宋体" w:eastAsia="仿宋_GB2312"/>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04644714">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 xml:space="preserve">      上年结转资金</w:t>
            </w:r>
          </w:p>
        </w:tc>
        <w:tc>
          <w:tcPr>
            <w:tcW w:w="1139" w:type="dxa"/>
            <w:tcBorders>
              <w:top w:val="nil"/>
              <w:left w:val="nil"/>
              <w:bottom w:val="single" w:color="auto" w:sz="4" w:space="0"/>
              <w:right w:val="single" w:color="auto" w:sz="4" w:space="0"/>
            </w:tcBorders>
            <w:noWrap w:val="0"/>
            <w:vAlign w:val="center"/>
          </w:tcPr>
          <w:p w14:paraId="00809121">
            <w:pPr>
              <w:widowControl/>
              <w:spacing w:line="240" w:lineRule="exact"/>
              <w:jc w:val="center"/>
              <w:rPr>
                <w:rFonts w:ascii="仿宋_GB2312" w:hAnsi="宋体" w:eastAsia="仿宋_GB2312"/>
                <w:kern w:val="0"/>
                <w:sz w:val="18"/>
                <w:szCs w:val="18"/>
              </w:rPr>
            </w:pPr>
          </w:p>
        </w:tc>
        <w:tc>
          <w:tcPr>
            <w:tcW w:w="1267" w:type="dxa"/>
            <w:gridSpan w:val="2"/>
            <w:tcBorders>
              <w:top w:val="nil"/>
              <w:left w:val="nil"/>
              <w:bottom w:val="single" w:color="auto" w:sz="4" w:space="0"/>
              <w:right w:val="single" w:color="auto" w:sz="4" w:space="0"/>
            </w:tcBorders>
            <w:noWrap w:val="0"/>
            <w:vAlign w:val="center"/>
          </w:tcPr>
          <w:p w14:paraId="33A20A85">
            <w:pPr>
              <w:widowControl/>
              <w:spacing w:line="240" w:lineRule="exact"/>
              <w:jc w:val="center"/>
              <w:rPr>
                <w:rFonts w:ascii="仿宋_GB2312" w:hAnsi="宋体" w:eastAsia="仿宋_GB2312"/>
                <w:kern w:val="0"/>
                <w:sz w:val="18"/>
                <w:szCs w:val="18"/>
              </w:rPr>
            </w:pPr>
          </w:p>
        </w:tc>
        <w:tc>
          <w:tcPr>
            <w:tcW w:w="1011" w:type="dxa"/>
            <w:gridSpan w:val="2"/>
            <w:tcBorders>
              <w:top w:val="nil"/>
              <w:left w:val="nil"/>
              <w:bottom w:val="single" w:color="auto" w:sz="4" w:space="0"/>
              <w:right w:val="single" w:color="auto" w:sz="4" w:space="0"/>
            </w:tcBorders>
            <w:noWrap w:val="0"/>
            <w:vAlign w:val="center"/>
          </w:tcPr>
          <w:p w14:paraId="20024C0C">
            <w:pPr>
              <w:widowControl/>
              <w:spacing w:line="240" w:lineRule="exact"/>
              <w:jc w:val="center"/>
              <w:rPr>
                <w:rFonts w:ascii="仿宋_GB2312" w:hAnsi="宋体"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112F25F6">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15F341E4">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713" w:type="dxa"/>
            <w:tcBorders>
              <w:top w:val="nil"/>
              <w:left w:val="nil"/>
              <w:bottom w:val="single" w:color="auto" w:sz="4" w:space="0"/>
              <w:right w:val="single" w:color="auto" w:sz="4" w:space="0"/>
            </w:tcBorders>
            <w:noWrap w:val="0"/>
            <w:vAlign w:val="center"/>
          </w:tcPr>
          <w:p w14:paraId="7C8EB61E">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14:paraId="16212DD5">
        <w:tblPrEx>
          <w:tblCellMar>
            <w:top w:w="0" w:type="dxa"/>
            <w:left w:w="108" w:type="dxa"/>
            <w:bottom w:w="0" w:type="dxa"/>
            <w:right w:w="108" w:type="dxa"/>
          </w:tblCellMar>
        </w:tblPrEx>
        <w:trPr>
          <w:trHeight w:val="158"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5D05BE22">
            <w:pPr>
              <w:widowControl/>
              <w:spacing w:line="240" w:lineRule="exact"/>
              <w:jc w:val="left"/>
              <w:rPr>
                <w:rFonts w:ascii="仿宋_GB2312" w:hAnsi="宋体" w:eastAsia="仿宋_GB2312"/>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435BF724">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 xml:space="preserve">  其他资金</w:t>
            </w:r>
          </w:p>
        </w:tc>
        <w:tc>
          <w:tcPr>
            <w:tcW w:w="1139" w:type="dxa"/>
            <w:tcBorders>
              <w:top w:val="nil"/>
              <w:left w:val="nil"/>
              <w:bottom w:val="single" w:color="auto" w:sz="4" w:space="0"/>
              <w:right w:val="single" w:color="auto" w:sz="4" w:space="0"/>
            </w:tcBorders>
            <w:noWrap w:val="0"/>
            <w:vAlign w:val="center"/>
          </w:tcPr>
          <w:p w14:paraId="36840E57">
            <w:pPr>
              <w:widowControl/>
              <w:spacing w:line="240" w:lineRule="exact"/>
              <w:jc w:val="center"/>
              <w:rPr>
                <w:rFonts w:ascii="仿宋_GB2312" w:hAnsi="宋体" w:eastAsia="仿宋_GB2312"/>
                <w:kern w:val="0"/>
                <w:sz w:val="18"/>
                <w:szCs w:val="18"/>
              </w:rPr>
            </w:pPr>
          </w:p>
        </w:tc>
        <w:tc>
          <w:tcPr>
            <w:tcW w:w="1267" w:type="dxa"/>
            <w:gridSpan w:val="2"/>
            <w:tcBorders>
              <w:top w:val="nil"/>
              <w:left w:val="nil"/>
              <w:bottom w:val="single" w:color="auto" w:sz="4" w:space="0"/>
              <w:right w:val="single" w:color="auto" w:sz="4" w:space="0"/>
            </w:tcBorders>
            <w:noWrap w:val="0"/>
            <w:vAlign w:val="center"/>
          </w:tcPr>
          <w:p w14:paraId="2F55DF18">
            <w:pPr>
              <w:widowControl/>
              <w:spacing w:line="240" w:lineRule="exact"/>
              <w:jc w:val="center"/>
              <w:rPr>
                <w:rFonts w:ascii="仿宋_GB2312" w:hAnsi="宋体" w:eastAsia="仿宋_GB2312"/>
                <w:kern w:val="0"/>
                <w:sz w:val="18"/>
                <w:szCs w:val="18"/>
              </w:rPr>
            </w:pPr>
          </w:p>
        </w:tc>
        <w:tc>
          <w:tcPr>
            <w:tcW w:w="1011" w:type="dxa"/>
            <w:gridSpan w:val="2"/>
            <w:tcBorders>
              <w:top w:val="nil"/>
              <w:left w:val="nil"/>
              <w:bottom w:val="single" w:color="auto" w:sz="4" w:space="0"/>
              <w:right w:val="single" w:color="auto" w:sz="4" w:space="0"/>
            </w:tcBorders>
            <w:noWrap w:val="0"/>
            <w:vAlign w:val="center"/>
          </w:tcPr>
          <w:p w14:paraId="78A8B574">
            <w:pPr>
              <w:widowControl/>
              <w:spacing w:line="240" w:lineRule="exact"/>
              <w:jc w:val="center"/>
              <w:rPr>
                <w:rFonts w:ascii="仿宋_GB2312" w:hAnsi="宋体"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22AE8C02">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7A92E3E6">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713" w:type="dxa"/>
            <w:tcBorders>
              <w:top w:val="nil"/>
              <w:left w:val="nil"/>
              <w:bottom w:val="single" w:color="auto" w:sz="4" w:space="0"/>
              <w:right w:val="single" w:color="auto" w:sz="4" w:space="0"/>
            </w:tcBorders>
            <w:noWrap w:val="0"/>
            <w:vAlign w:val="center"/>
          </w:tcPr>
          <w:p w14:paraId="4C99C64B">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14:paraId="513AAC9A">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noWrap w:val="0"/>
            <w:vAlign w:val="center"/>
          </w:tcPr>
          <w:p w14:paraId="03EE97B7">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年度总体目标</w:t>
            </w:r>
          </w:p>
        </w:tc>
        <w:tc>
          <w:tcPr>
            <w:tcW w:w="5242" w:type="dxa"/>
            <w:gridSpan w:val="6"/>
            <w:tcBorders>
              <w:top w:val="single" w:color="auto" w:sz="4" w:space="0"/>
              <w:left w:val="nil"/>
              <w:bottom w:val="single" w:color="auto" w:sz="4" w:space="0"/>
              <w:right w:val="single" w:color="auto" w:sz="4" w:space="0"/>
            </w:tcBorders>
            <w:noWrap w:val="0"/>
            <w:vAlign w:val="center"/>
          </w:tcPr>
          <w:p w14:paraId="5F05F07F">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预期目标</w:t>
            </w:r>
          </w:p>
        </w:tc>
        <w:tc>
          <w:tcPr>
            <w:tcW w:w="3291" w:type="dxa"/>
            <w:gridSpan w:val="7"/>
            <w:tcBorders>
              <w:top w:val="single" w:color="auto" w:sz="4" w:space="0"/>
              <w:left w:val="nil"/>
              <w:bottom w:val="single" w:color="auto" w:sz="4" w:space="0"/>
              <w:right w:val="single" w:color="auto" w:sz="4" w:space="0"/>
            </w:tcBorders>
            <w:noWrap w:val="0"/>
            <w:vAlign w:val="center"/>
          </w:tcPr>
          <w:p w14:paraId="3E4EE8AD">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实际完成情况</w:t>
            </w:r>
          </w:p>
        </w:tc>
      </w:tr>
      <w:tr w14:paraId="4DFEB43B">
        <w:tblPrEx>
          <w:tblCellMar>
            <w:top w:w="0" w:type="dxa"/>
            <w:left w:w="108" w:type="dxa"/>
            <w:bottom w:w="0" w:type="dxa"/>
            <w:right w:w="108" w:type="dxa"/>
          </w:tblCellMar>
        </w:tblPrEx>
        <w:trPr>
          <w:trHeight w:val="1707" w:hRule="atLeast"/>
          <w:jc w:val="center"/>
        </w:trPr>
        <w:tc>
          <w:tcPr>
            <w:tcW w:w="591" w:type="dxa"/>
            <w:vMerge w:val="continue"/>
            <w:tcBorders>
              <w:top w:val="nil"/>
              <w:left w:val="single" w:color="auto" w:sz="4" w:space="0"/>
              <w:bottom w:val="single" w:color="auto" w:sz="4" w:space="0"/>
              <w:right w:val="single" w:color="auto" w:sz="4" w:space="0"/>
            </w:tcBorders>
            <w:noWrap w:val="0"/>
            <w:vAlign w:val="center"/>
          </w:tcPr>
          <w:p w14:paraId="43E10351">
            <w:pPr>
              <w:widowControl/>
              <w:spacing w:line="240" w:lineRule="exact"/>
              <w:jc w:val="left"/>
              <w:rPr>
                <w:rFonts w:ascii="仿宋_GB2312" w:hAnsi="宋体" w:eastAsia="仿宋_GB2312"/>
                <w:kern w:val="0"/>
                <w:sz w:val="18"/>
                <w:szCs w:val="18"/>
              </w:rPr>
            </w:pPr>
          </w:p>
        </w:tc>
        <w:tc>
          <w:tcPr>
            <w:tcW w:w="5242" w:type="dxa"/>
            <w:gridSpan w:val="6"/>
            <w:tcBorders>
              <w:top w:val="single" w:color="auto" w:sz="4" w:space="0"/>
              <w:left w:val="nil"/>
              <w:bottom w:val="single" w:color="auto" w:sz="4" w:space="0"/>
              <w:right w:val="single" w:color="auto" w:sz="4" w:space="0"/>
            </w:tcBorders>
            <w:noWrap w:val="0"/>
            <w:vAlign w:val="center"/>
          </w:tcPr>
          <w:p w14:paraId="6F76E25D">
            <w:pPr>
              <w:widowControl/>
              <w:spacing w:line="240" w:lineRule="exact"/>
              <w:jc w:val="both"/>
              <w:rPr>
                <w:rFonts w:ascii="仿宋_GB2312" w:hAnsi="宋体" w:eastAsia="仿宋_GB2312"/>
                <w:kern w:val="0"/>
                <w:sz w:val="15"/>
                <w:szCs w:val="15"/>
              </w:rPr>
            </w:pPr>
            <w:r>
              <w:rPr>
                <w:rFonts w:hint="eastAsia" w:ascii="仿宋" w:hAnsi="仿宋" w:eastAsia="仿宋" w:cs="仿宋"/>
                <w:sz w:val="15"/>
                <w:szCs w:val="15"/>
                <w:lang w:val="en-US" w:eastAsia="zh-CN"/>
              </w:rPr>
              <w:t>全年拟</w:t>
            </w:r>
            <w:r>
              <w:rPr>
                <w:rFonts w:hint="eastAsia" w:ascii="仿宋" w:hAnsi="仿宋" w:eastAsia="仿宋" w:cs="仿宋"/>
                <w:i w:val="0"/>
                <w:caps w:val="0"/>
                <w:color w:val="000000"/>
                <w:spacing w:val="0"/>
                <w:sz w:val="15"/>
                <w:szCs w:val="15"/>
              </w:rPr>
              <w:t>召开人民代表大会</w:t>
            </w:r>
            <w:r>
              <w:rPr>
                <w:rFonts w:hint="eastAsia" w:ascii="仿宋" w:hAnsi="仿宋" w:eastAsia="仿宋" w:cs="仿宋"/>
                <w:i w:val="0"/>
                <w:caps w:val="0"/>
                <w:color w:val="000000"/>
                <w:spacing w:val="0"/>
                <w:sz w:val="15"/>
                <w:szCs w:val="15"/>
                <w:lang w:val="en-US" w:eastAsia="zh-CN"/>
              </w:rPr>
              <w:t>1</w:t>
            </w:r>
            <w:r>
              <w:rPr>
                <w:rFonts w:hint="eastAsia" w:ascii="仿宋" w:hAnsi="仿宋" w:eastAsia="仿宋" w:cs="仿宋"/>
                <w:i w:val="0"/>
                <w:caps w:val="0"/>
                <w:color w:val="000000"/>
                <w:spacing w:val="0"/>
                <w:sz w:val="15"/>
                <w:szCs w:val="15"/>
              </w:rPr>
              <w:t>次</w:t>
            </w:r>
            <w:r>
              <w:rPr>
                <w:rFonts w:hint="eastAsia" w:ascii="仿宋" w:hAnsi="仿宋" w:eastAsia="仿宋" w:cs="仿宋"/>
                <w:i w:val="0"/>
                <w:caps w:val="0"/>
                <w:color w:val="000000"/>
                <w:spacing w:val="0"/>
                <w:sz w:val="15"/>
                <w:szCs w:val="15"/>
                <w:lang w:eastAsia="zh-CN"/>
              </w:rPr>
              <w:t>、</w:t>
            </w:r>
            <w:r>
              <w:rPr>
                <w:rFonts w:hint="eastAsia" w:ascii="仿宋" w:hAnsi="仿宋" w:eastAsia="仿宋" w:cs="仿宋"/>
                <w:sz w:val="15"/>
                <w:szCs w:val="15"/>
                <w:lang w:val="en-US" w:eastAsia="zh-CN"/>
              </w:rPr>
              <w:t>常委会会议8次，主任会议15次，</w:t>
            </w:r>
            <w:r>
              <w:rPr>
                <w:rFonts w:hint="eastAsia" w:ascii="仿宋" w:hAnsi="仿宋" w:eastAsia="仿宋" w:cs="仿宋"/>
                <w:i w:val="0"/>
                <w:iCs w:val="0"/>
                <w:caps w:val="0"/>
                <w:color w:val="333333"/>
                <w:spacing w:val="0"/>
                <w:sz w:val="15"/>
                <w:szCs w:val="15"/>
                <w:shd w:val="clear" w:color="auto" w:fill="FFFFFF"/>
              </w:rPr>
              <w:t>会议所需用品、会议补助等各项支出不超当年度预算</w:t>
            </w:r>
            <w:r>
              <w:rPr>
                <w:rFonts w:hint="eastAsia" w:ascii="仿宋" w:hAnsi="仿宋" w:eastAsia="仿宋" w:cs="仿宋"/>
                <w:i w:val="0"/>
                <w:iCs w:val="0"/>
                <w:caps w:val="0"/>
                <w:color w:val="333333"/>
                <w:spacing w:val="0"/>
                <w:sz w:val="15"/>
                <w:szCs w:val="15"/>
                <w:shd w:val="clear" w:color="auto" w:fill="FFFFFF"/>
                <w:lang w:val="en-US" w:eastAsia="zh-CN"/>
              </w:rPr>
              <w:t>80万元</w:t>
            </w:r>
            <w:r>
              <w:rPr>
                <w:rFonts w:hint="eastAsia" w:ascii="仿宋" w:hAnsi="仿宋" w:eastAsia="仿宋" w:cs="仿宋"/>
                <w:i w:val="0"/>
                <w:iCs w:val="0"/>
                <w:caps w:val="0"/>
                <w:color w:val="333333"/>
                <w:spacing w:val="0"/>
                <w:sz w:val="15"/>
                <w:szCs w:val="15"/>
                <w:shd w:val="clear" w:color="auto" w:fill="FFFFFF"/>
              </w:rPr>
              <w:t>，资金使用率</w:t>
            </w:r>
            <w:r>
              <w:rPr>
                <w:rFonts w:hint="eastAsia" w:ascii="仿宋" w:hAnsi="仿宋" w:eastAsia="仿宋" w:cs="仿宋"/>
                <w:i w:val="0"/>
                <w:iCs w:val="0"/>
                <w:caps w:val="0"/>
                <w:color w:val="333333"/>
                <w:spacing w:val="0"/>
                <w:sz w:val="15"/>
                <w:szCs w:val="15"/>
                <w:shd w:val="clear" w:color="auto" w:fill="FFFFFF"/>
                <w:lang w:val="en-US" w:eastAsia="zh-CN"/>
              </w:rPr>
              <w:t>95</w:t>
            </w:r>
            <w:r>
              <w:rPr>
                <w:rFonts w:hint="eastAsia" w:ascii="仿宋" w:hAnsi="仿宋" w:eastAsia="仿宋" w:cs="仿宋"/>
                <w:i w:val="0"/>
                <w:iCs w:val="0"/>
                <w:caps w:val="0"/>
                <w:color w:val="333333"/>
                <w:spacing w:val="0"/>
                <w:sz w:val="15"/>
                <w:szCs w:val="15"/>
                <w:shd w:val="clear" w:color="auto" w:fill="FFFFFF"/>
              </w:rPr>
              <w:t>%，财政资金使用充分；人大代表履职能力水平进一步提高；人大代表议案和建议受理比例达90%；</w:t>
            </w:r>
            <w:r>
              <w:rPr>
                <w:rFonts w:hint="eastAsia" w:ascii="仿宋" w:hAnsi="仿宋" w:eastAsia="仿宋" w:cs="仿宋"/>
                <w:i w:val="0"/>
                <w:iCs w:val="0"/>
                <w:caps w:val="0"/>
                <w:color w:val="333333"/>
                <w:spacing w:val="0"/>
                <w:sz w:val="15"/>
                <w:szCs w:val="15"/>
                <w:shd w:val="clear" w:color="auto" w:fill="FFFFFF"/>
                <w:lang w:eastAsia="zh-CN"/>
              </w:rPr>
              <w:t>吉首市</w:t>
            </w:r>
            <w:r>
              <w:rPr>
                <w:rFonts w:hint="eastAsia" w:ascii="仿宋" w:hAnsi="仿宋" w:eastAsia="仿宋" w:cs="仿宋"/>
                <w:i w:val="0"/>
                <w:iCs w:val="0"/>
                <w:caps w:val="0"/>
                <w:color w:val="333333"/>
                <w:spacing w:val="0"/>
                <w:sz w:val="15"/>
                <w:szCs w:val="15"/>
                <w:shd w:val="clear" w:color="auto" w:fill="FFFFFF"/>
              </w:rPr>
              <w:t>人民代表大会通过决议及一府两院报告、人大常委会报告；人大代表及辖区选民的抽样满意度90%以上</w:t>
            </w:r>
            <w:r>
              <w:rPr>
                <w:rFonts w:ascii="sinsum" w:hAnsi="sinsum" w:eastAsia="sinsum" w:cs="sinsum"/>
                <w:i w:val="0"/>
                <w:iCs w:val="0"/>
                <w:caps w:val="0"/>
                <w:color w:val="333333"/>
                <w:spacing w:val="0"/>
                <w:sz w:val="18"/>
                <w:szCs w:val="18"/>
                <w:shd w:val="clear" w:color="auto" w:fill="FFFFFF"/>
              </w:rPr>
              <w:t>。</w:t>
            </w:r>
          </w:p>
        </w:tc>
        <w:tc>
          <w:tcPr>
            <w:tcW w:w="3291" w:type="dxa"/>
            <w:gridSpan w:val="7"/>
            <w:tcBorders>
              <w:top w:val="single" w:color="auto" w:sz="4" w:space="0"/>
              <w:left w:val="nil"/>
              <w:bottom w:val="single" w:color="auto" w:sz="4" w:space="0"/>
              <w:right w:val="single" w:color="auto" w:sz="4" w:space="0"/>
            </w:tcBorders>
            <w:noWrap w:val="0"/>
            <w:vAlign w:val="center"/>
          </w:tcPr>
          <w:p w14:paraId="0E6D3495">
            <w:pPr>
              <w:widowControl/>
              <w:spacing w:line="240" w:lineRule="exact"/>
              <w:jc w:val="both"/>
              <w:rPr>
                <w:rFonts w:ascii="仿宋_GB2312" w:hAnsi="宋体" w:eastAsia="仿宋_GB2312"/>
                <w:kern w:val="0"/>
                <w:sz w:val="15"/>
                <w:szCs w:val="15"/>
              </w:rPr>
            </w:pPr>
            <w:r>
              <w:rPr>
                <w:rFonts w:hint="eastAsia" w:ascii="仿宋" w:hAnsi="仿宋" w:eastAsia="仿宋" w:cs="仿宋"/>
                <w:sz w:val="13"/>
                <w:szCs w:val="13"/>
                <w:lang w:val="en-US" w:eastAsia="zh-CN"/>
              </w:rPr>
              <w:t>全年实际</w:t>
            </w:r>
            <w:r>
              <w:rPr>
                <w:rFonts w:hint="eastAsia" w:ascii="仿宋" w:hAnsi="仿宋" w:eastAsia="仿宋" w:cs="仿宋"/>
                <w:i w:val="0"/>
                <w:caps w:val="0"/>
                <w:color w:val="000000"/>
                <w:spacing w:val="0"/>
                <w:sz w:val="13"/>
                <w:szCs w:val="13"/>
              </w:rPr>
              <w:t>召开人民代表大会</w:t>
            </w:r>
            <w:r>
              <w:rPr>
                <w:rFonts w:hint="eastAsia" w:ascii="仿宋" w:hAnsi="仿宋" w:eastAsia="仿宋" w:cs="仿宋"/>
                <w:i w:val="0"/>
                <w:caps w:val="0"/>
                <w:color w:val="000000"/>
                <w:spacing w:val="0"/>
                <w:sz w:val="13"/>
                <w:szCs w:val="13"/>
                <w:lang w:val="en-US" w:eastAsia="zh-CN"/>
              </w:rPr>
              <w:t>2</w:t>
            </w:r>
            <w:r>
              <w:rPr>
                <w:rFonts w:hint="eastAsia" w:ascii="仿宋" w:hAnsi="仿宋" w:eastAsia="仿宋" w:cs="仿宋"/>
                <w:i w:val="0"/>
                <w:caps w:val="0"/>
                <w:color w:val="000000"/>
                <w:spacing w:val="0"/>
                <w:sz w:val="13"/>
                <w:szCs w:val="13"/>
              </w:rPr>
              <w:t>次</w:t>
            </w:r>
            <w:r>
              <w:rPr>
                <w:rFonts w:hint="eastAsia" w:ascii="仿宋" w:hAnsi="仿宋" w:eastAsia="仿宋" w:cs="仿宋"/>
                <w:i w:val="0"/>
                <w:caps w:val="0"/>
                <w:color w:val="000000"/>
                <w:spacing w:val="0"/>
                <w:sz w:val="13"/>
                <w:szCs w:val="13"/>
                <w:lang w:eastAsia="zh-CN"/>
              </w:rPr>
              <w:t>、</w:t>
            </w:r>
            <w:r>
              <w:rPr>
                <w:rFonts w:hint="eastAsia" w:ascii="仿宋" w:hAnsi="仿宋" w:eastAsia="仿宋" w:cs="仿宋"/>
                <w:sz w:val="13"/>
                <w:szCs w:val="13"/>
                <w:lang w:val="en-US" w:eastAsia="zh-CN"/>
              </w:rPr>
              <w:t>常委会会议10次，主任会议18次，</w:t>
            </w:r>
            <w:r>
              <w:rPr>
                <w:rFonts w:hint="eastAsia" w:ascii="仿宋" w:hAnsi="仿宋" w:eastAsia="仿宋" w:cs="仿宋"/>
                <w:i w:val="0"/>
                <w:iCs w:val="0"/>
                <w:caps w:val="0"/>
                <w:color w:val="333333"/>
                <w:spacing w:val="0"/>
                <w:sz w:val="13"/>
                <w:szCs w:val="13"/>
                <w:shd w:val="clear" w:color="auto" w:fill="FFFFFF"/>
              </w:rPr>
              <w:t>资金支付率100%；会议所需用品、会议补助等各项支出不超当年度预算</w:t>
            </w:r>
            <w:r>
              <w:rPr>
                <w:rFonts w:hint="eastAsia" w:ascii="仿宋" w:hAnsi="仿宋" w:eastAsia="仿宋" w:cs="仿宋"/>
                <w:i w:val="0"/>
                <w:iCs w:val="0"/>
                <w:caps w:val="0"/>
                <w:color w:val="333333"/>
                <w:spacing w:val="0"/>
                <w:sz w:val="13"/>
                <w:szCs w:val="13"/>
                <w:shd w:val="clear" w:color="auto" w:fill="FFFFFF"/>
                <w:lang w:val="en-US" w:eastAsia="zh-CN"/>
              </w:rPr>
              <w:t>8</w:t>
            </w:r>
            <w:r>
              <w:rPr>
                <w:rFonts w:hint="eastAsia" w:ascii="仿宋" w:hAnsi="仿宋" w:eastAsia="仿宋" w:cs="仿宋"/>
                <w:i w:val="0"/>
                <w:iCs w:val="0"/>
                <w:caps w:val="0"/>
                <w:color w:val="333333"/>
                <w:spacing w:val="0"/>
                <w:sz w:val="13"/>
                <w:szCs w:val="13"/>
                <w:shd w:val="clear" w:color="auto" w:fill="FFFFFF"/>
              </w:rPr>
              <w:t>0</w:t>
            </w:r>
            <w:r>
              <w:rPr>
                <w:rFonts w:hint="eastAsia" w:ascii="仿宋" w:hAnsi="仿宋" w:eastAsia="仿宋" w:cs="仿宋"/>
                <w:i w:val="0"/>
                <w:iCs w:val="0"/>
                <w:caps w:val="0"/>
                <w:color w:val="333333"/>
                <w:spacing w:val="0"/>
                <w:sz w:val="13"/>
                <w:szCs w:val="13"/>
                <w:shd w:val="clear" w:color="auto" w:fill="FFFFFF"/>
                <w:lang w:eastAsia="zh-CN"/>
              </w:rPr>
              <w:t>万元</w:t>
            </w:r>
            <w:r>
              <w:rPr>
                <w:rFonts w:hint="eastAsia" w:ascii="仿宋" w:hAnsi="仿宋" w:eastAsia="仿宋" w:cs="仿宋"/>
                <w:i w:val="0"/>
                <w:iCs w:val="0"/>
                <w:caps w:val="0"/>
                <w:color w:val="333333"/>
                <w:spacing w:val="0"/>
                <w:sz w:val="13"/>
                <w:szCs w:val="13"/>
                <w:shd w:val="clear" w:color="auto" w:fill="FFFFFF"/>
              </w:rPr>
              <w:t>，资金使用率</w:t>
            </w:r>
            <w:r>
              <w:rPr>
                <w:rFonts w:hint="eastAsia" w:ascii="仿宋" w:hAnsi="仿宋" w:eastAsia="仿宋" w:cs="仿宋"/>
                <w:i w:val="0"/>
                <w:iCs w:val="0"/>
                <w:caps w:val="0"/>
                <w:color w:val="333333"/>
                <w:spacing w:val="0"/>
                <w:sz w:val="13"/>
                <w:szCs w:val="13"/>
                <w:shd w:val="clear" w:color="auto" w:fill="FFFFFF"/>
                <w:lang w:val="en-US" w:eastAsia="zh-CN"/>
              </w:rPr>
              <w:t>95</w:t>
            </w:r>
            <w:r>
              <w:rPr>
                <w:rFonts w:hint="eastAsia" w:ascii="仿宋" w:hAnsi="仿宋" w:eastAsia="仿宋" w:cs="仿宋"/>
                <w:i w:val="0"/>
                <w:iCs w:val="0"/>
                <w:caps w:val="0"/>
                <w:color w:val="333333"/>
                <w:spacing w:val="0"/>
                <w:sz w:val="13"/>
                <w:szCs w:val="13"/>
                <w:shd w:val="clear" w:color="auto" w:fill="FFFFFF"/>
              </w:rPr>
              <w:t>%，财政资金使用充分；人大代表履职能力水平进一步提高；人大代表议案和建议受理比例达100%；</w:t>
            </w:r>
            <w:r>
              <w:rPr>
                <w:rFonts w:hint="eastAsia" w:ascii="仿宋" w:hAnsi="仿宋" w:eastAsia="仿宋" w:cs="仿宋"/>
                <w:i w:val="0"/>
                <w:iCs w:val="0"/>
                <w:caps w:val="0"/>
                <w:color w:val="333333"/>
                <w:spacing w:val="0"/>
                <w:sz w:val="13"/>
                <w:szCs w:val="13"/>
                <w:shd w:val="clear" w:color="auto" w:fill="FFFFFF"/>
                <w:lang w:eastAsia="zh-CN"/>
              </w:rPr>
              <w:t>吉首市</w:t>
            </w:r>
            <w:r>
              <w:rPr>
                <w:rFonts w:hint="eastAsia" w:ascii="仿宋" w:hAnsi="仿宋" w:eastAsia="仿宋" w:cs="仿宋"/>
                <w:i w:val="0"/>
                <w:iCs w:val="0"/>
                <w:caps w:val="0"/>
                <w:color w:val="333333"/>
                <w:spacing w:val="0"/>
                <w:sz w:val="13"/>
                <w:szCs w:val="13"/>
                <w:shd w:val="clear" w:color="auto" w:fill="FFFFFF"/>
              </w:rPr>
              <w:t>人民代表大会通过决议及一府两院报告、人大常委会报告；人大代表及辖区选民的抽样满意度90%以上。</w:t>
            </w:r>
          </w:p>
        </w:tc>
      </w:tr>
      <w:tr w14:paraId="6A33B302">
        <w:tblPrEx>
          <w:tblCellMar>
            <w:top w:w="0" w:type="dxa"/>
            <w:left w:w="108" w:type="dxa"/>
            <w:bottom w:w="0" w:type="dxa"/>
            <w:right w:w="108" w:type="dxa"/>
          </w:tblCellMar>
        </w:tblPrEx>
        <w:trPr>
          <w:trHeight w:val="436" w:hRule="atLeast"/>
          <w:jc w:val="center"/>
        </w:trPr>
        <w:tc>
          <w:tcPr>
            <w:tcW w:w="591" w:type="dxa"/>
            <w:vMerge w:val="restart"/>
            <w:tcBorders>
              <w:top w:val="nil"/>
              <w:left w:val="single" w:color="auto" w:sz="4" w:space="0"/>
              <w:bottom w:val="nil"/>
              <w:right w:val="single" w:color="auto" w:sz="4" w:space="0"/>
            </w:tcBorders>
            <w:noWrap w:val="0"/>
            <w:vAlign w:val="center"/>
          </w:tcPr>
          <w:p w14:paraId="1D4CA03E">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绩</w:t>
            </w:r>
            <w:r>
              <w:rPr>
                <w:rFonts w:hint="eastAsia" w:ascii="仿宋_GB2312" w:hAnsi="宋体" w:eastAsia="仿宋_GB2312"/>
                <w:kern w:val="0"/>
                <w:sz w:val="18"/>
                <w:szCs w:val="18"/>
              </w:rPr>
              <w:br w:type="textWrapping"/>
            </w:r>
            <w:r>
              <w:rPr>
                <w:rFonts w:hint="eastAsia" w:ascii="仿宋_GB2312" w:hAnsi="宋体" w:eastAsia="仿宋_GB2312"/>
                <w:kern w:val="0"/>
                <w:sz w:val="18"/>
                <w:szCs w:val="18"/>
              </w:rPr>
              <w:t>效</w:t>
            </w:r>
            <w:r>
              <w:rPr>
                <w:rFonts w:hint="eastAsia" w:ascii="仿宋_GB2312" w:hAnsi="宋体" w:eastAsia="仿宋_GB2312"/>
                <w:kern w:val="0"/>
                <w:sz w:val="18"/>
                <w:szCs w:val="18"/>
              </w:rPr>
              <w:br w:type="textWrapping"/>
            </w:r>
            <w:r>
              <w:rPr>
                <w:rFonts w:hint="eastAsia" w:ascii="仿宋_GB2312" w:hAnsi="宋体" w:eastAsia="仿宋_GB2312"/>
                <w:kern w:val="0"/>
                <w:sz w:val="18"/>
                <w:szCs w:val="18"/>
              </w:rPr>
              <w:t>指</w:t>
            </w:r>
            <w:r>
              <w:rPr>
                <w:rFonts w:hint="eastAsia" w:ascii="仿宋_GB2312" w:hAnsi="宋体" w:eastAsia="仿宋_GB2312"/>
                <w:kern w:val="0"/>
                <w:sz w:val="18"/>
                <w:szCs w:val="18"/>
              </w:rPr>
              <w:br w:type="textWrapping"/>
            </w:r>
            <w:r>
              <w:rPr>
                <w:rFonts w:hint="eastAsia" w:ascii="仿宋_GB2312" w:hAnsi="宋体" w:eastAsia="仿宋_GB2312"/>
                <w:kern w:val="0"/>
                <w:sz w:val="18"/>
                <w:szCs w:val="18"/>
              </w:rPr>
              <w:t>标</w:t>
            </w:r>
          </w:p>
        </w:tc>
        <w:tc>
          <w:tcPr>
            <w:tcW w:w="985" w:type="dxa"/>
            <w:tcBorders>
              <w:top w:val="nil"/>
              <w:left w:val="nil"/>
              <w:bottom w:val="single" w:color="auto" w:sz="4" w:space="0"/>
              <w:right w:val="single" w:color="auto" w:sz="4" w:space="0"/>
            </w:tcBorders>
            <w:noWrap w:val="0"/>
            <w:vAlign w:val="center"/>
          </w:tcPr>
          <w:p w14:paraId="4D09713D">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一级指标</w:t>
            </w:r>
          </w:p>
        </w:tc>
        <w:tc>
          <w:tcPr>
            <w:tcW w:w="1117" w:type="dxa"/>
            <w:tcBorders>
              <w:top w:val="nil"/>
              <w:left w:val="nil"/>
              <w:bottom w:val="single" w:color="auto" w:sz="4" w:space="0"/>
              <w:right w:val="single" w:color="auto" w:sz="4" w:space="0"/>
            </w:tcBorders>
            <w:noWrap w:val="0"/>
            <w:vAlign w:val="center"/>
          </w:tcPr>
          <w:p w14:paraId="16E0388B">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二级指标</w:t>
            </w:r>
          </w:p>
        </w:tc>
        <w:tc>
          <w:tcPr>
            <w:tcW w:w="2275" w:type="dxa"/>
            <w:gridSpan w:val="3"/>
            <w:tcBorders>
              <w:top w:val="single" w:color="auto" w:sz="4" w:space="0"/>
              <w:left w:val="nil"/>
              <w:bottom w:val="single" w:color="auto" w:sz="4" w:space="0"/>
              <w:right w:val="single" w:color="auto" w:sz="4" w:space="0"/>
            </w:tcBorders>
            <w:noWrap w:val="0"/>
            <w:vAlign w:val="center"/>
          </w:tcPr>
          <w:p w14:paraId="335772D3">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三级指标</w:t>
            </w:r>
          </w:p>
        </w:tc>
        <w:tc>
          <w:tcPr>
            <w:tcW w:w="865" w:type="dxa"/>
            <w:tcBorders>
              <w:top w:val="nil"/>
              <w:left w:val="nil"/>
              <w:bottom w:val="single" w:color="auto" w:sz="4" w:space="0"/>
              <w:right w:val="single" w:color="auto" w:sz="4" w:space="0"/>
            </w:tcBorders>
            <w:noWrap w:val="0"/>
            <w:vAlign w:val="center"/>
          </w:tcPr>
          <w:p w14:paraId="1CC7F35B">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年度</w:t>
            </w:r>
          </w:p>
          <w:p w14:paraId="3B29B47B">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指标值</w:t>
            </w:r>
          </w:p>
        </w:tc>
        <w:tc>
          <w:tcPr>
            <w:tcW w:w="727" w:type="dxa"/>
            <w:tcBorders>
              <w:top w:val="nil"/>
              <w:left w:val="nil"/>
              <w:bottom w:val="single" w:color="auto" w:sz="4" w:space="0"/>
              <w:right w:val="single" w:color="auto" w:sz="4" w:space="0"/>
            </w:tcBorders>
            <w:noWrap w:val="0"/>
            <w:vAlign w:val="center"/>
          </w:tcPr>
          <w:p w14:paraId="691A6410">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实际</w:t>
            </w:r>
          </w:p>
          <w:p w14:paraId="47ED55A3">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完成值</w:t>
            </w:r>
          </w:p>
        </w:tc>
        <w:tc>
          <w:tcPr>
            <w:tcW w:w="570" w:type="dxa"/>
            <w:gridSpan w:val="2"/>
            <w:tcBorders>
              <w:top w:val="nil"/>
              <w:left w:val="nil"/>
              <w:bottom w:val="single" w:color="auto" w:sz="4" w:space="0"/>
              <w:right w:val="single" w:color="auto" w:sz="4" w:space="0"/>
            </w:tcBorders>
            <w:noWrap w:val="0"/>
            <w:vAlign w:val="center"/>
          </w:tcPr>
          <w:p w14:paraId="0A8490B0">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分值</w:t>
            </w:r>
          </w:p>
        </w:tc>
        <w:tc>
          <w:tcPr>
            <w:tcW w:w="570" w:type="dxa"/>
            <w:gridSpan w:val="2"/>
            <w:tcBorders>
              <w:top w:val="nil"/>
              <w:left w:val="nil"/>
              <w:bottom w:val="single" w:color="auto" w:sz="4" w:space="0"/>
              <w:right w:val="single" w:color="auto" w:sz="4" w:space="0"/>
            </w:tcBorders>
            <w:noWrap w:val="0"/>
            <w:vAlign w:val="center"/>
          </w:tcPr>
          <w:p w14:paraId="0956B1A6">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得分</w:t>
            </w:r>
          </w:p>
        </w:tc>
        <w:tc>
          <w:tcPr>
            <w:tcW w:w="1424" w:type="dxa"/>
            <w:gridSpan w:val="2"/>
            <w:tcBorders>
              <w:top w:val="single" w:color="auto" w:sz="4" w:space="0"/>
              <w:left w:val="nil"/>
              <w:bottom w:val="single" w:color="auto" w:sz="4" w:space="0"/>
              <w:right w:val="single" w:color="auto" w:sz="4" w:space="0"/>
            </w:tcBorders>
            <w:noWrap w:val="0"/>
            <w:vAlign w:val="center"/>
          </w:tcPr>
          <w:p w14:paraId="72ACE6DF">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偏差原因分析及改进措施</w:t>
            </w:r>
          </w:p>
        </w:tc>
      </w:tr>
      <w:tr w14:paraId="1D582C55">
        <w:tblPrEx>
          <w:tblCellMar>
            <w:top w:w="0" w:type="dxa"/>
            <w:left w:w="108" w:type="dxa"/>
            <w:bottom w:w="0" w:type="dxa"/>
            <w:right w:w="108" w:type="dxa"/>
          </w:tblCellMar>
        </w:tblPrEx>
        <w:trPr>
          <w:trHeight w:val="327" w:hRule="atLeast"/>
          <w:jc w:val="center"/>
        </w:trPr>
        <w:tc>
          <w:tcPr>
            <w:tcW w:w="591" w:type="dxa"/>
            <w:vMerge w:val="continue"/>
            <w:tcBorders>
              <w:top w:val="nil"/>
              <w:left w:val="single" w:color="auto" w:sz="4" w:space="0"/>
              <w:bottom w:val="nil"/>
              <w:right w:val="single" w:color="auto" w:sz="4" w:space="0"/>
            </w:tcBorders>
            <w:noWrap w:val="0"/>
            <w:vAlign w:val="center"/>
          </w:tcPr>
          <w:p w14:paraId="7E589DB3">
            <w:pPr>
              <w:widowControl/>
              <w:spacing w:line="240" w:lineRule="exact"/>
              <w:jc w:val="left"/>
              <w:rPr>
                <w:rFonts w:ascii="仿宋_GB2312" w:hAnsi="宋体" w:eastAsia="仿宋_GB2312"/>
                <w:kern w:val="0"/>
                <w:sz w:val="18"/>
                <w:szCs w:val="18"/>
              </w:rPr>
            </w:pPr>
          </w:p>
        </w:tc>
        <w:tc>
          <w:tcPr>
            <w:tcW w:w="985" w:type="dxa"/>
            <w:vMerge w:val="restart"/>
            <w:tcBorders>
              <w:top w:val="nil"/>
              <w:left w:val="nil"/>
              <w:bottom w:val="single" w:color="auto" w:sz="4" w:space="0"/>
              <w:right w:val="single" w:color="auto" w:sz="4" w:space="0"/>
            </w:tcBorders>
            <w:noWrap w:val="0"/>
            <w:vAlign w:val="center"/>
          </w:tcPr>
          <w:p w14:paraId="54A3A34B">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产出指标（50分）</w:t>
            </w:r>
          </w:p>
        </w:tc>
        <w:tc>
          <w:tcPr>
            <w:tcW w:w="1117" w:type="dxa"/>
            <w:vMerge w:val="restart"/>
            <w:tcBorders>
              <w:top w:val="nil"/>
              <w:left w:val="nil"/>
              <w:right w:val="single" w:color="auto" w:sz="4" w:space="0"/>
            </w:tcBorders>
            <w:noWrap w:val="0"/>
            <w:vAlign w:val="center"/>
          </w:tcPr>
          <w:p w14:paraId="24F900D5">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数量指标</w:t>
            </w:r>
          </w:p>
        </w:tc>
        <w:tc>
          <w:tcPr>
            <w:tcW w:w="2275" w:type="dxa"/>
            <w:gridSpan w:val="3"/>
            <w:tcBorders>
              <w:top w:val="single" w:color="auto" w:sz="4" w:space="0"/>
              <w:left w:val="nil"/>
              <w:bottom w:val="single" w:color="auto" w:sz="4" w:space="0"/>
              <w:right w:val="single" w:color="auto" w:sz="4" w:space="0"/>
            </w:tcBorders>
            <w:noWrap w:val="0"/>
            <w:vAlign w:val="center"/>
          </w:tcPr>
          <w:p w14:paraId="399C29DC">
            <w:pPr>
              <w:widowControl/>
              <w:spacing w:line="240" w:lineRule="exact"/>
              <w:jc w:val="left"/>
              <w:rPr>
                <w:rFonts w:hint="eastAsia" w:ascii="仿宋_GB2312" w:hAnsi="宋体" w:eastAsia="仿宋_GB2312"/>
                <w:color w:val="000000"/>
                <w:kern w:val="0"/>
                <w:sz w:val="18"/>
                <w:szCs w:val="18"/>
                <w:lang w:eastAsia="zh-CN"/>
              </w:rPr>
            </w:pPr>
            <w:r>
              <w:rPr>
                <w:rFonts w:hint="eastAsia" w:ascii="仿宋" w:hAnsi="仿宋" w:eastAsia="仿宋" w:cs="仿宋"/>
                <w:i w:val="0"/>
                <w:caps w:val="0"/>
                <w:color w:val="000000"/>
                <w:spacing w:val="0"/>
                <w:sz w:val="18"/>
                <w:szCs w:val="18"/>
              </w:rPr>
              <w:t>召开人民代表大会</w:t>
            </w:r>
            <w:r>
              <w:rPr>
                <w:rFonts w:hint="eastAsia" w:ascii="仿宋_GB2312" w:hAnsi="宋体" w:eastAsia="仿宋_GB2312"/>
                <w:color w:val="000000"/>
                <w:kern w:val="0"/>
                <w:sz w:val="18"/>
                <w:szCs w:val="18"/>
                <w:lang w:eastAsia="zh-CN"/>
              </w:rPr>
              <w:t>次数</w:t>
            </w:r>
          </w:p>
        </w:tc>
        <w:tc>
          <w:tcPr>
            <w:tcW w:w="865" w:type="dxa"/>
            <w:tcBorders>
              <w:top w:val="nil"/>
              <w:left w:val="nil"/>
              <w:bottom w:val="single" w:color="auto" w:sz="4" w:space="0"/>
              <w:right w:val="single" w:color="auto" w:sz="4" w:space="0"/>
            </w:tcBorders>
            <w:noWrap w:val="0"/>
            <w:vAlign w:val="center"/>
          </w:tcPr>
          <w:p w14:paraId="756BE31B">
            <w:pPr>
              <w:widowControl/>
              <w:spacing w:line="240" w:lineRule="exact"/>
              <w:jc w:val="center"/>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rPr>
              <w:t>≥</w:t>
            </w:r>
            <w:r>
              <w:rPr>
                <w:rFonts w:hint="eastAsia" w:ascii="仿宋_GB2312" w:hAnsi="宋体" w:eastAsia="仿宋_GB2312"/>
                <w:kern w:val="0"/>
                <w:sz w:val="18"/>
                <w:szCs w:val="18"/>
                <w:lang w:val="en-US" w:eastAsia="zh-CN"/>
              </w:rPr>
              <w:t>1次</w:t>
            </w:r>
          </w:p>
        </w:tc>
        <w:tc>
          <w:tcPr>
            <w:tcW w:w="727" w:type="dxa"/>
            <w:tcBorders>
              <w:top w:val="nil"/>
              <w:left w:val="nil"/>
              <w:bottom w:val="single" w:color="auto" w:sz="4" w:space="0"/>
              <w:right w:val="single" w:color="auto" w:sz="4" w:space="0"/>
            </w:tcBorders>
            <w:noWrap w:val="0"/>
            <w:vAlign w:val="center"/>
          </w:tcPr>
          <w:p w14:paraId="556A7F8B">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2次</w:t>
            </w:r>
          </w:p>
        </w:tc>
        <w:tc>
          <w:tcPr>
            <w:tcW w:w="570" w:type="dxa"/>
            <w:gridSpan w:val="2"/>
            <w:tcBorders>
              <w:top w:val="nil"/>
              <w:left w:val="nil"/>
              <w:bottom w:val="single" w:color="auto" w:sz="4" w:space="0"/>
              <w:right w:val="single" w:color="auto" w:sz="4" w:space="0"/>
            </w:tcBorders>
            <w:noWrap w:val="0"/>
            <w:vAlign w:val="center"/>
          </w:tcPr>
          <w:p w14:paraId="51D383BA">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w:t>
            </w:r>
          </w:p>
        </w:tc>
        <w:tc>
          <w:tcPr>
            <w:tcW w:w="570" w:type="dxa"/>
            <w:gridSpan w:val="2"/>
            <w:tcBorders>
              <w:top w:val="nil"/>
              <w:left w:val="nil"/>
              <w:bottom w:val="single" w:color="auto" w:sz="4" w:space="0"/>
              <w:right w:val="single" w:color="auto" w:sz="4" w:space="0"/>
            </w:tcBorders>
            <w:noWrap w:val="0"/>
            <w:vAlign w:val="center"/>
          </w:tcPr>
          <w:p w14:paraId="7AE9310D">
            <w:pPr>
              <w:widowControl/>
              <w:spacing w:line="240" w:lineRule="exact"/>
              <w:jc w:val="center"/>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w:t>
            </w:r>
          </w:p>
        </w:tc>
        <w:tc>
          <w:tcPr>
            <w:tcW w:w="1424" w:type="dxa"/>
            <w:gridSpan w:val="2"/>
            <w:tcBorders>
              <w:top w:val="single" w:color="auto" w:sz="4" w:space="0"/>
              <w:left w:val="nil"/>
              <w:bottom w:val="single" w:color="auto" w:sz="4" w:space="0"/>
              <w:right w:val="single" w:color="auto" w:sz="4" w:space="0"/>
            </w:tcBorders>
            <w:noWrap w:val="0"/>
            <w:vAlign w:val="center"/>
          </w:tcPr>
          <w:p w14:paraId="79CCB933">
            <w:pPr>
              <w:widowControl/>
              <w:spacing w:line="240" w:lineRule="exact"/>
              <w:jc w:val="center"/>
              <w:rPr>
                <w:rFonts w:ascii="仿宋_GB2312" w:hAnsi="宋体" w:eastAsia="仿宋_GB2312"/>
                <w:kern w:val="0"/>
                <w:sz w:val="18"/>
                <w:szCs w:val="18"/>
              </w:rPr>
            </w:pPr>
          </w:p>
        </w:tc>
      </w:tr>
      <w:tr w14:paraId="2267924D">
        <w:tblPrEx>
          <w:tblCellMar>
            <w:top w:w="0" w:type="dxa"/>
            <w:left w:w="108" w:type="dxa"/>
            <w:bottom w:w="0" w:type="dxa"/>
            <w:right w:w="108" w:type="dxa"/>
          </w:tblCellMar>
        </w:tblPrEx>
        <w:trPr>
          <w:trHeight w:val="358" w:hRule="atLeast"/>
          <w:jc w:val="center"/>
        </w:trPr>
        <w:tc>
          <w:tcPr>
            <w:tcW w:w="591" w:type="dxa"/>
            <w:vMerge w:val="continue"/>
            <w:tcBorders>
              <w:top w:val="nil"/>
              <w:left w:val="single" w:color="auto" w:sz="4" w:space="0"/>
              <w:bottom w:val="nil"/>
              <w:right w:val="single" w:color="auto" w:sz="4" w:space="0"/>
            </w:tcBorders>
            <w:noWrap w:val="0"/>
            <w:vAlign w:val="center"/>
          </w:tcPr>
          <w:p w14:paraId="66648770">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noWrap w:val="0"/>
            <w:vAlign w:val="center"/>
          </w:tcPr>
          <w:p w14:paraId="21325367">
            <w:pPr>
              <w:widowControl/>
              <w:spacing w:line="240" w:lineRule="exact"/>
              <w:jc w:val="left"/>
              <w:rPr>
                <w:rFonts w:ascii="仿宋_GB2312" w:hAnsi="宋体" w:eastAsia="仿宋_GB2312"/>
                <w:kern w:val="0"/>
                <w:sz w:val="18"/>
                <w:szCs w:val="18"/>
              </w:rPr>
            </w:pPr>
          </w:p>
        </w:tc>
        <w:tc>
          <w:tcPr>
            <w:tcW w:w="1117" w:type="dxa"/>
            <w:vMerge w:val="continue"/>
            <w:tcBorders>
              <w:left w:val="nil"/>
              <w:right w:val="single" w:color="auto" w:sz="4" w:space="0"/>
            </w:tcBorders>
            <w:noWrap w:val="0"/>
            <w:vAlign w:val="center"/>
          </w:tcPr>
          <w:p w14:paraId="184F32CD">
            <w:pPr>
              <w:widowControl/>
              <w:spacing w:line="240" w:lineRule="exact"/>
              <w:jc w:val="left"/>
              <w:rPr>
                <w:rFonts w:ascii="仿宋_GB2312" w:hAnsi="宋体" w:eastAsia="仿宋_GB2312"/>
                <w:kern w:val="0"/>
                <w:sz w:val="18"/>
                <w:szCs w:val="18"/>
              </w:rPr>
            </w:pPr>
          </w:p>
        </w:tc>
        <w:tc>
          <w:tcPr>
            <w:tcW w:w="2275" w:type="dxa"/>
            <w:gridSpan w:val="3"/>
            <w:tcBorders>
              <w:top w:val="single" w:color="auto" w:sz="4" w:space="0"/>
              <w:left w:val="nil"/>
              <w:right w:val="single" w:color="auto" w:sz="4" w:space="0"/>
            </w:tcBorders>
            <w:noWrap w:val="0"/>
            <w:vAlign w:val="center"/>
          </w:tcPr>
          <w:p w14:paraId="67C839D5">
            <w:pPr>
              <w:widowControl/>
              <w:spacing w:line="240" w:lineRule="exact"/>
              <w:jc w:val="left"/>
              <w:rPr>
                <w:rFonts w:hint="eastAsia" w:ascii="仿宋_GB2312" w:hAnsi="宋体" w:eastAsia="仿宋_GB2312"/>
                <w:color w:val="000000"/>
                <w:kern w:val="0"/>
                <w:sz w:val="18"/>
                <w:szCs w:val="18"/>
                <w:lang w:eastAsia="zh-CN"/>
              </w:rPr>
            </w:pPr>
            <w:r>
              <w:rPr>
                <w:rFonts w:hint="eastAsia" w:ascii="仿宋_GB2312" w:hAnsi="宋体" w:eastAsia="仿宋_GB2312"/>
                <w:color w:val="000000"/>
                <w:kern w:val="0"/>
                <w:sz w:val="18"/>
                <w:szCs w:val="18"/>
                <w:lang w:eastAsia="zh-CN"/>
              </w:rPr>
              <w:t>召开常委会会议</w:t>
            </w:r>
            <w:r>
              <w:rPr>
                <w:rFonts w:hint="eastAsia" w:ascii="仿宋" w:hAnsi="仿宋" w:eastAsia="仿宋" w:cs="仿宋"/>
                <w:sz w:val="18"/>
                <w:szCs w:val="18"/>
                <w:lang w:val="en-US" w:eastAsia="zh-CN"/>
              </w:rPr>
              <w:t>次数</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5FD9AB68">
            <w:pPr>
              <w:widowControl/>
              <w:spacing w:line="240" w:lineRule="exact"/>
              <w:jc w:val="center"/>
              <w:rPr>
                <w:rFonts w:hint="eastAsia" w:ascii="仿宋_GB2312" w:hAnsi="宋体" w:eastAsia="仿宋_GB2312"/>
                <w:kern w:val="0"/>
                <w:sz w:val="18"/>
                <w:szCs w:val="18"/>
                <w:shd w:val="clear" w:color="FFFFFF" w:fill="D9D9D9"/>
                <w:lang w:eastAsia="zh-CN"/>
              </w:rPr>
            </w:pPr>
            <w:r>
              <w:rPr>
                <w:rFonts w:hint="eastAsia" w:ascii="仿宋_GB2312" w:hAnsi="宋体" w:eastAsia="仿宋_GB2312"/>
                <w:kern w:val="0"/>
                <w:sz w:val="18"/>
                <w:szCs w:val="18"/>
                <w:shd w:val="clear" w:color="auto" w:fill="auto"/>
              </w:rPr>
              <w:t>≥</w:t>
            </w:r>
            <w:r>
              <w:rPr>
                <w:rFonts w:hint="eastAsia" w:ascii="仿宋_GB2312" w:hAnsi="宋体" w:eastAsia="仿宋_GB2312"/>
                <w:kern w:val="0"/>
                <w:sz w:val="18"/>
                <w:szCs w:val="18"/>
                <w:shd w:val="clear" w:color="auto" w:fill="auto"/>
                <w:lang w:val="en-US" w:eastAsia="zh-CN"/>
              </w:rPr>
              <w:t>8次</w:t>
            </w:r>
          </w:p>
        </w:tc>
        <w:tc>
          <w:tcPr>
            <w:tcW w:w="727" w:type="dxa"/>
            <w:tcBorders>
              <w:top w:val="single" w:color="auto" w:sz="4" w:space="0"/>
              <w:left w:val="nil"/>
              <w:bottom w:val="single" w:color="auto" w:sz="4" w:space="0"/>
              <w:right w:val="single" w:color="auto" w:sz="4" w:space="0"/>
            </w:tcBorders>
            <w:noWrap w:val="0"/>
            <w:vAlign w:val="center"/>
          </w:tcPr>
          <w:p w14:paraId="2A016167">
            <w:pPr>
              <w:widowControl/>
              <w:spacing w:line="240" w:lineRule="exact"/>
              <w:jc w:val="center"/>
              <w:rPr>
                <w:rFonts w:hint="default" w:ascii="仿宋_GB2312" w:hAnsi="宋体" w:eastAsia="仿宋_GB2312"/>
                <w:kern w:val="0"/>
                <w:sz w:val="18"/>
                <w:szCs w:val="18"/>
                <w:shd w:val="clear" w:color="FFFFFF" w:fill="D9D9D9"/>
                <w:lang w:val="en-US" w:eastAsia="zh-CN"/>
              </w:rPr>
            </w:pPr>
            <w:r>
              <w:rPr>
                <w:rFonts w:hint="eastAsia" w:ascii="仿宋_GB2312" w:hAnsi="宋体" w:eastAsia="仿宋_GB2312"/>
                <w:color w:val="auto"/>
                <w:kern w:val="0"/>
                <w:sz w:val="18"/>
                <w:szCs w:val="18"/>
                <w:shd w:val="clear" w:color="auto" w:fill="auto"/>
                <w:lang w:val="en-US" w:eastAsia="zh-CN"/>
              </w:rPr>
              <w:t>10次</w:t>
            </w:r>
          </w:p>
        </w:tc>
        <w:tc>
          <w:tcPr>
            <w:tcW w:w="570" w:type="dxa"/>
            <w:gridSpan w:val="2"/>
            <w:tcBorders>
              <w:top w:val="single" w:color="auto" w:sz="4" w:space="0"/>
              <w:left w:val="nil"/>
              <w:bottom w:val="single" w:color="auto" w:sz="4" w:space="0"/>
              <w:right w:val="single" w:color="auto" w:sz="4" w:space="0"/>
            </w:tcBorders>
            <w:noWrap w:val="0"/>
            <w:vAlign w:val="center"/>
          </w:tcPr>
          <w:p w14:paraId="53886BFC">
            <w:pPr>
              <w:widowControl/>
              <w:spacing w:line="240" w:lineRule="exact"/>
              <w:jc w:val="center"/>
              <w:rPr>
                <w:rFonts w:hint="default" w:ascii="仿宋_GB2312" w:hAnsi="宋体" w:eastAsia="仿宋_GB2312"/>
                <w:kern w:val="0"/>
                <w:sz w:val="18"/>
                <w:szCs w:val="18"/>
                <w:shd w:val="clear" w:color="auto" w:fill="auto"/>
                <w:lang w:val="en-US" w:eastAsia="zh-CN"/>
              </w:rPr>
            </w:pPr>
            <w:r>
              <w:rPr>
                <w:rFonts w:hint="eastAsia" w:ascii="仿宋_GB2312" w:hAnsi="宋体" w:eastAsia="仿宋_GB2312"/>
                <w:kern w:val="0"/>
                <w:sz w:val="18"/>
                <w:szCs w:val="18"/>
                <w:shd w:val="clear" w:color="auto" w:fill="auto"/>
                <w:lang w:val="en-US" w:eastAsia="zh-CN"/>
              </w:rPr>
              <w:t>10</w:t>
            </w:r>
          </w:p>
        </w:tc>
        <w:tc>
          <w:tcPr>
            <w:tcW w:w="570" w:type="dxa"/>
            <w:gridSpan w:val="2"/>
            <w:tcBorders>
              <w:top w:val="single" w:color="auto" w:sz="4" w:space="0"/>
              <w:left w:val="nil"/>
              <w:bottom w:val="single" w:color="auto" w:sz="4" w:space="0"/>
              <w:right w:val="single" w:color="auto" w:sz="4" w:space="0"/>
            </w:tcBorders>
            <w:noWrap w:val="0"/>
            <w:vAlign w:val="center"/>
          </w:tcPr>
          <w:p w14:paraId="036085B5">
            <w:pPr>
              <w:widowControl/>
              <w:spacing w:line="240" w:lineRule="exact"/>
              <w:jc w:val="center"/>
              <w:rPr>
                <w:rFonts w:hint="eastAsia" w:ascii="仿宋_GB2312" w:hAnsi="宋体" w:eastAsia="仿宋_GB2312"/>
                <w:kern w:val="0"/>
                <w:sz w:val="18"/>
                <w:szCs w:val="18"/>
                <w:shd w:val="clear" w:color="auto" w:fill="auto"/>
                <w:lang w:val="en-US" w:eastAsia="zh-CN"/>
              </w:rPr>
            </w:pPr>
            <w:r>
              <w:rPr>
                <w:rFonts w:hint="eastAsia" w:ascii="仿宋_GB2312" w:hAnsi="宋体" w:eastAsia="仿宋_GB2312"/>
                <w:kern w:val="0"/>
                <w:sz w:val="18"/>
                <w:szCs w:val="18"/>
                <w:shd w:val="clear" w:color="auto" w:fill="auto"/>
                <w:lang w:val="en-US" w:eastAsia="zh-CN"/>
              </w:rPr>
              <w:t>10</w:t>
            </w:r>
          </w:p>
        </w:tc>
        <w:tc>
          <w:tcPr>
            <w:tcW w:w="1424" w:type="dxa"/>
            <w:gridSpan w:val="2"/>
            <w:tcBorders>
              <w:top w:val="single" w:color="auto" w:sz="4" w:space="0"/>
              <w:left w:val="nil"/>
              <w:bottom w:val="single" w:color="auto" w:sz="4" w:space="0"/>
              <w:right w:val="single" w:color="auto" w:sz="4" w:space="0"/>
            </w:tcBorders>
            <w:noWrap w:val="0"/>
            <w:vAlign w:val="center"/>
          </w:tcPr>
          <w:p w14:paraId="4542B8A0">
            <w:pPr>
              <w:widowControl/>
              <w:spacing w:line="240" w:lineRule="exact"/>
              <w:jc w:val="center"/>
              <w:rPr>
                <w:rFonts w:ascii="仿宋_GB2312" w:hAnsi="宋体" w:eastAsia="仿宋_GB2312"/>
                <w:kern w:val="0"/>
                <w:sz w:val="18"/>
                <w:szCs w:val="18"/>
                <w:shd w:val="clear" w:color="FFFFFF" w:fill="D9D9D9"/>
              </w:rPr>
            </w:pPr>
          </w:p>
        </w:tc>
      </w:tr>
      <w:tr w14:paraId="5DDFC39F">
        <w:tblPrEx>
          <w:tblCellMar>
            <w:top w:w="0" w:type="dxa"/>
            <w:left w:w="108" w:type="dxa"/>
            <w:bottom w:w="0" w:type="dxa"/>
            <w:right w:w="108" w:type="dxa"/>
          </w:tblCellMar>
        </w:tblPrEx>
        <w:trPr>
          <w:trHeight w:val="322" w:hRule="atLeast"/>
          <w:jc w:val="center"/>
        </w:trPr>
        <w:tc>
          <w:tcPr>
            <w:tcW w:w="591" w:type="dxa"/>
            <w:vMerge w:val="continue"/>
            <w:tcBorders>
              <w:top w:val="nil"/>
              <w:left w:val="single" w:color="auto" w:sz="4" w:space="0"/>
              <w:bottom w:val="nil"/>
              <w:right w:val="single" w:color="auto" w:sz="4" w:space="0"/>
            </w:tcBorders>
            <w:noWrap w:val="0"/>
            <w:vAlign w:val="center"/>
          </w:tcPr>
          <w:p w14:paraId="5B56C253">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noWrap w:val="0"/>
            <w:vAlign w:val="center"/>
          </w:tcPr>
          <w:p w14:paraId="2EAB4106">
            <w:pPr>
              <w:widowControl/>
              <w:spacing w:line="240" w:lineRule="exact"/>
              <w:jc w:val="left"/>
              <w:rPr>
                <w:rFonts w:ascii="仿宋_GB2312" w:hAnsi="宋体" w:eastAsia="仿宋_GB2312"/>
                <w:kern w:val="0"/>
                <w:sz w:val="18"/>
                <w:szCs w:val="18"/>
              </w:rPr>
            </w:pPr>
          </w:p>
        </w:tc>
        <w:tc>
          <w:tcPr>
            <w:tcW w:w="1117" w:type="dxa"/>
            <w:vMerge w:val="continue"/>
            <w:tcBorders>
              <w:left w:val="nil"/>
              <w:bottom w:val="single" w:color="auto" w:sz="4" w:space="0"/>
              <w:right w:val="single" w:color="auto" w:sz="4" w:space="0"/>
            </w:tcBorders>
            <w:noWrap w:val="0"/>
            <w:vAlign w:val="center"/>
          </w:tcPr>
          <w:p w14:paraId="5EF3AF6D">
            <w:pPr>
              <w:widowControl/>
              <w:spacing w:line="240" w:lineRule="exact"/>
              <w:jc w:val="left"/>
              <w:rPr>
                <w:rFonts w:ascii="仿宋_GB2312" w:hAnsi="宋体" w:eastAsia="仿宋_GB2312"/>
                <w:kern w:val="0"/>
                <w:sz w:val="18"/>
                <w:szCs w:val="18"/>
              </w:rPr>
            </w:pPr>
          </w:p>
        </w:tc>
        <w:tc>
          <w:tcPr>
            <w:tcW w:w="2275" w:type="dxa"/>
            <w:gridSpan w:val="3"/>
            <w:tcBorders>
              <w:top w:val="single" w:color="auto" w:sz="4" w:space="0"/>
              <w:left w:val="nil"/>
              <w:right w:val="single" w:color="auto" w:sz="4" w:space="0"/>
            </w:tcBorders>
            <w:noWrap w:val="0"/>
            <w:vAlign w:val="center"/>
          </w:tcPr>
          <w:p w14:paraId="22EA8B69">
            <w:pPr>
              <w:widowControl/>
              <w:spacing w:line="240" w:lineRule="exact"/>
              <w:jc w:val="left"/>
              <w:rPr>
                <w:rFonts w:hint="default" w:ascii="仿宋_GB2312" w:hAnsi="宋体" w:eastAsia="仿宋_GB2312"/>
                <w:color w:val="000000"/>
                <w:kern w:val="0"/>
                <w:sz w:val="18"/>
                <w:szCs w:val="18"/>
                <w:lang w:val="en-US" w:eastAsia="zh-CN"/>
              </w:rPr>
            </w:pPr>
            <w:r>
              <w:rPr>
                <w:rFonts w:hint="eastAsia" w:ascii="仿宋" w:hAnsi="仿宋" w:eastAsia="仿宋" w:cs="仿宋"/>
                <w:sz w:val="18"/>
                <w:szCs w:val="18"/>
                <w:lang w:val="en-US" w:eastAsia="zh-CN"/>
              </w:rPr>
              <w:t>召开主任会议次数</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1EC3AECE">
            <w:pPr>
              <w:widowControl/>
              <w:spacing w:line="240" w:lineRule="exact"/>
              <w:jc w:val="center"/>
              <w:rPr>
                <w:rFonts w:hint="default" w:ascii="仿宋_GB2312" w:hAnsi="宋体" w:eastAsia="仿宋_GB2312"/>
                <w:kern w:val="0"/>
                <w:sz w:val="18"/>
                <w:szCs w:val="18"/>
                <w:shd w:val="clear" w:color="auto" w:fill="auto"/>
                <w:lang w:val="en-US" w:eastAsia="zh-CN"/>
              </w:rPr>
            </w:pPr>
            <w:r>
              <w:rPr>
                <w:rFonts w:hint="eastAsia" w:ascii="仿宋_GB2312" w:hAnsi="宋体" w:eastAsia="仿宋_GB2312"/>
                <w:kern w:val="0"/>
                <w:sz w:val="18"/>
                <w:szCs w:val="18"/>
                <w:shd w:val="clear" w:color="auto" w:fill="auto"/>
              </w:rPr>
              <w:t>≥</w:t>
            </w:r>
            <w:r>
              <w:rPr>
                <w:rFonts w:hint="eastAsia" w:ascii="仿宋_GB2312" w:hAnsi="宋体" w:eastAsia="仿宋_GB2312"/>
                <w:kern w:val="0"/>
                <w:sz w:val="18"/>
                <w:szCs w:val="18"/>
                <w:shd w:val="clear" w:color="auto" w:fill="auto"/>
                <w:lang w:val="en-US" w:eastAsia="zh-CN"/>
              </w:rPr>
              <w:t>15次</w:t>
            </w:r>
          </w:p>
        </w:tc>
        <w:tc>
          <w:tcPr>
            <w:tcW w:w="727" w:type="dxa"/>
            <w:tcBorders>
              <w:top w:val="single" w:color="auto" w:sz="4" w:space="0"/>
              <w:left w:val="nil"/>
              <w:bottom w:val="single" w:color="auto" w:sz="4" w:space="0"/>
              <w:right w:val="single" w:color="auto" w:sz="4" w:space="0"/>
            </w:tcBorders>
            <w:noWrap w:val="0"/>
            <w:vAlign w:val="center"/>
          </w:tcPr>
          <w:p w14:paraId="0F0FC477">
            <w:pPr>
              <w:widowControl/>
              <w:spacing w:line="240" w:lineRule="exact"/>
              <w:jc w:val="center"/>
              <w:rPr>
                <w:rFonts w:hint="default" w:ascii="仿宋_GB2312" w:hAnsi="宋体" w:eastAsia="仿宋_GB2312"/>
                <w:color w:val="auto"/>
                <w:kern w:val="0"/>
                <w:sz w:val="18"/>
                <w:szCs w:val="18"/>
                <w:shd w:val="clear" w:color="auto" w:fill="auto"/>
                <w:lang w:val="en-US" w:eastAsia="zh-CN"/>
              </w:rPr>
            </w:pPr>
            <w:r>
              <w:rPr>
                <w:rFonts w:hint="eastAsia" w:ascii="仿宋_GB2312" w:hAnsi="宋体" w:eastAsia="仿宋_GB2312"/>
                <w:color w:val="auto"/>
                <w:kern w:val="0"/>
                <w:sz w:val="18"/>
                <w:szCs w:val="18"/>
                <w:shd w:val="clear" w:color="auto" w:fill="auto"/>
                <w:lang w:val="en-US" w:eastAsia="zh-CN"/>
              </w:rPr>
              <w:t>18次</w:t>
            </w:r>
          </w:p>
        </w:tc>
        <w:tc>
          <w:tcPr>
            <w:tcW w:w="570" w:type="dxa"/>
            <w:gridSpan w:val="2"/>
            <w:tcBorders>
              <w:top w:val="single" w:color="auto" w:sz="4" w:space="0"/>
              <w:left w:val="nil"/>
              <w:bottom w:val="single" w:color="auto" w:sz="4" w:space="0"/>
              <w:right w:val="single" w:color="auto" w:sz="4" w:space="0"/>
            </w:tcBorders>
            <w:noWrap w:val="0"/>
            <w:vAlign w:val="center"/>
          </w:tcPr>
          <w:p w14:paraId="01DA3872">
            <w:pPr>
              <w:widowControl/>
              <w:spacing w:line="240" w:lineRule="exact"/>
              <w:jc w:val="center"/>
              <w:rPr>
                <w:rFonts w:hint="default" w:ascii="仿宋_GB2312" w:hAnsi="宋体" w:eastAsia="仿宋_GB2312"/>
                <w:kern w:val="0"/>
                <w:sz w:val="18"/>
                <w:szCs w:val="18"/>
                <w:shd w:val="clear" w:color="auto" w:fill="auto"/>
                <w:lang w:val="en-US" w:eastAsia="zh-CN"/>
              </w:rPr>
            </w:pPr>
            <w:r>
              <w:rPr>
                <w:rFonts w:hint="eastAsia" w:ascii="仿宋_GB2312" w:hAnsi="宋体" w:eastAsia="仿宋_GB2312"/>
                <w:kern w:val="0"/>
                <w:sz w:val="18"/>
                <w:szCs w:val="18"/>
                <w:shd w:val="clear" w:color="auto" w:fill="auto"/>
                <w:lang w:val="en-US" w:eastAsia="zh-CN"/>
              </w:rPr>
              <w:t>15</w:t>
            </w:r>
          </w:p>
        </w:tc>
        <w:tc>
          <w:tcPr>
            <w:tcW w:w="570" w:type="dxa"/>
            <w:gridSpan w:val="2"/>
            <w:tcBorders>
              <w:top w:val="single" w:color="auto" w:sz="4" w:space="0"/>
              <w:left w:val="nil"/>
              <w:bottom w:val="single" w:color="auto" w:sz="4" w:space="0"/>
              <w:right w:val="single" w:color="auto" w:sz="4" w:space="0"/>
            </w:tcBorders>
            <w:noWrap w:val="0"/>
            <w:vAlign w:val="center"/>
          </w:tcPr>
          <w:p w14:paraId="4F364E6D">
            <w:pPr>
              <w:widowControl/>
              <w:spacing w:line="240" w:lineRule="exact"/>
              <w:jc w:val="center"/>
              <w:rPr>
                <w:rFonts w:hint="eastAsia" w:ascii="仿宋_GB2312" w:hAnsi="宋体" w:eastAsia="仿宋_GB2312"/>
                <w:kern w:val="0"/>
                <w:sz w:val="18"/>
                <w:szCs w:val="18"/>
                <w:shd w:val="clear" w:color="auto" w:fill="auto"/>
                <w:lang w:val="en-US" w:eastAsia="zh-CN"/>
              </w:rPr>
            </w:pPr>
            <w:r>
              <w:rPr>
                <w:rFonts w:hint="eastAsia" w:ascii="仿宋_GB2312" w:hAnsi="宋体" w:eastAsia="仿宋_GB2312"/>
                <w:kern w:val="0"/>
                <w:sz w:val="18"/>
                <w:szCs w:val="18"/>
                <w:shd w:val="clear" w:color="auto" w:fill="auto"/>
                <w:lang w:val="en-US" w:eastAsia="zh-CN"/>
              </w:rPr>
              <w:t>15</w:t>
            </w:r>
          </w:p>
        </w:tc>
        <w:tc>
          <w:tcPr>
            <w:tcW w:w="1424" w:type="dxa"/>
            <w:gridSpan w:val="2"/>
            <w:tcBorders>
              <w:top w:val="single" w:color="auto" w:sz="4" w:space="0"/>
              <w:left w:val="nil"/>
              <w:bottom w:val="single" w:color="auto" w:sz="4" w:space="0"/>
              <w:right w:val="single" w:color="auto" w:sz="4" w:space="0"/>
            </w:tcBorders>
            <w:noWrap w:val="0"/>
            <w:vAlign w:val="center"/>
          </w:tcPr>
          <w:p w14:paraId="65207AFE">
            <w:pPr>
              <w:widowControl/>
              <w:spacing w:line="240" w:lineRule="exact"/>
              <w:jc w:val="center"/>
              <w:rPr>
                <w:rFonts w:ascii="仿宋_GB2312" w:hAnsi="宋体" w:eastAsia="仿宋_GB2312"/>
                <w:kern w:val="0"/>
                <w:sz w:val="18"/>
                <w:szCs w:val="18"/>
                <w:shd w:val="clear" w:color="FFFFFF" w:fill="D9D9D9"/>
              </w:rPr>
            </w:pPr>
          </w:p>
        </w:tc>
      </w:tr>
      <w:tr w14:paraId="58B1FE32">
        <w:tblPrEx>
          <w:tblCellMar>
            <w:top w:w="0" w:type="dxa"/>
            <w:left w:w="108" w:type="dxa"/>
            <w:bottom w:w="0" w:type="dxa"/>
            <w:right w:w="108" w:type="dxa"/>
          </w:tblCellMar>
        </w:tblPrEx>
        <w:trPr>
          <w:trHeight w:val="451" w:hRule="atLeast"/>
          <w:jc w:val="center"/>
        </w:trPr>
        <w:tc>
          <w:tcPr>
            <w:tcW w:w="591" w:type="dxa"/>
            <w:vMerge w:val="continue"/>
            <w:tcBorders>
              <w:top w:val="nil"/>
              <w:left w:val="single" w:color="auto" w:sz="4" w:space="0"/>
              <w:bottom w:val="nil"/>
              <w:right w:val="single" w:color="auto" w:sz="4" w:space="0"/>
            </w:tcBorders>
            <w:noWrap w:val="0"/>
            <w:vAlign w:val="center"/>
          </w:tcPr>
          <w:p w14:paraId="782CF5C7">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noWrap w:val="0"/>
            <w:vAlign w:val="center"/>
          </w:tcPr>
          <w:p w14:paraId="1ECF4A35">
            <w:pPr>
              <w:widowControl/>
              <w:spacing w:line="240" w:lineRule="exact"/>
              <w:jc w:val="left"/>
              <w:rPr>
                <w:rFonts w:ascii="仿宋_GB2312" w:hAnsi="宋体" w:eastAsia="仿宋_GB2312"/>
                <w:kern w:val="0"/>
                <w:sz w:val="18"/>
                <w:szCs w:val="18"/>
              </w:rPr>
            </w:pPr>
          </w:p>
        </w:tc>
        <w:tc>
          <w:tcPr>
            <w:tcW w:w="1117" w:type="dxa"/>
            <w:tcBorders>
              <w:top w:val="nil"/>
              <w:left w:val="nil"/>
              <w:bottom w:val="single" w:color="auto" w:sz="4" w:space="0"/>
              <w:right w:val="single" w:color="auto" w:sz="4" w:space="0"/>
            </w:tcBorders>
            <w:noWrap w:val="0"/>
            <w:vAlign w:val="center"/>
          </w:tcPr>
          <w:p w14:paraId="4FD43DA2">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质量指标</w:t>
            </w:r>
          </w:p>
        </w:tc>
        <w:tc>
          <w:tcPr>
            <w:tcW w:w="2275" w:type="dxa"/>
            <w:gridSpan w:val="3"/>
            <w:tcBorders>
              <w:top w:val="single" w:color="auto" w:sz="4" w:space="0"/>
              <w:left w:val="nil"/>
              <w:right w:val="single" w:color="auto" w:sz="4" w:space="0"/>
            </w:tcBorders>
            <w:noWrap w:val="0"/>
            <w:vAlign w:val="center"/>
          </w:tcPr>
          <w:p w14:paraId="07130047">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lang w:eastAsia="zh-CN"/>
              </w:rPr>
              <w:t>按计划完成各项会议议程</w:t>
            </w:r>
          </w:p>
        </w:tc>
        <w:tc>
          <w:tcPr>
            <w:tcW w:w="865" w:type="dxa"/>
            <w:tcBorders>
              <w:top w:val="single" w:color="auto" w:sz="4" w:space="0"/>
              <w:left w:val="nil"/>
              <w:right w:val="single" w:color="auto" w:sz="4" w:space="0"/>
            </w:tcBorders>
            <w:noWrap w:val="0"/>
            <w:vAlign w:val="center"/>
          </w:tcPr>
          <w:p w14:paraId="76938380">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100%</w:t>
            </w:r>
          </w:p>
        </w:tc>
        <w:tc>
          <w:tcPr>
            <w:tcW w:w="727" w:type="dxa"/>
            <w:tcBorders>
              <w:top w:val="single" w:color="auto" w:sz="4" w:space="0"/>
              <w:left w:val="nil"/>
              <w:right w:val="single" w:color="auto" w:sz="4" w:space="0"/>
            </w:tcBorders>
            <w:noWrap w:val="0"/>
            <w:vAlign w:val="center"/>
          </w:tcPr>
          <w:p w14:paraId="54E25CF4">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100%</w:t>
            </w:r>
          </w:p>
        </w:tc>
        <w:tc>
          <w:tcPr>
            <w:tcW w:w="570" w:type="dxa"/>
            <w:gridSpan w:val="2"/>
            <w:tcBorders>
              <w:top w:val="single" w:color="auto" w:sz="4" w:space="0"/>
              <w:left w:val="nil"/>
              <w:right w:val="single" w:color="auto" w:sz="4" w:space="0"/>
            </w:tcBorders>
            <w:noWrap w:val="0"/>
            <w:vAlign w:val="center"/>
          </w:tcPr>
          <w:p w14:paraId="48F1F0A1">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w:t>
            </w:r>
          </w:p>
        </w:tc>
        <w:tc>
          <w:tcPr>
            <w:tcW w:w="570" w:type="dxa"/>
            <w:gridSpan w:val="2"/>
            <w:tcBorders>
              <w:top w:val="single" w:color="auto" w:sz="4" w:space="0"/>
              <w:left w:val="nil"/>
              <w:right w:val="single" w:color="auto" w:sz="4" w:space="0"/>
            </w:tcBorders>
            <w:noWrap w:val="0"/>
            <w:vAlign w:val="center"/>
          </w:tcPr>
          <w:p w14:paraId="3C7553F1">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w:t>
            </w:r>
          </w:p>
        </w:tc>
        <w:tc>
          <w:tcPr>
            <w:tcW w:w="1424" w:type="dxa"/>
            <w:gridSpan w:val="2"/>
            <w:tcBorders>
              <w:top w:val="single" w:color="auto" w:sz="4" w:space="0"/>
              <w:left w:val="nil"/>
              <w:bottom w:val="single" w:color="auto" w:sz="4" w:space="0"/>
              <w:right w:val="single" w:color="auto" w:sz="4" w:space="0"/>
            </w:tcBorders>
            <w:noWrap w:val="0"/>
            <w:vAlign w:val="center"/>
          </w:tcPr>
          <w:p w14:paraId="63A20EFF">
            <w:pPr>
              <w:widowControl/>
              <w:spacing w:line="240" w:lineRule="exact"/>
              <w:jc w:val="center"/>
              <w:rPr>
                <w:rFonts w:ascii="仿宋_GB2312" w:hAnsi="宋体" w:eastAsia="仿宋_GB2312"/>
                <w:kern w:val="0"/>
                <w:sz w:val="18"/>
                <w:szCs w:val="18"/>
              </w:rPr>
            </w:pPr>
          </w:p>
        </w:tc>
      </w:tr>
      <w:tr w14:paraId="6C687C9B">
        <w:tblPrEx>
          <w:tblCellMar>
            <w:top w:w="0" w:type="dxa"/>
            <w:left w:w="108" w:type="dxa"/>
            <w:bottom w:w="0" w:type="dxa"/>
            <w:right w:w="108" w:type="dxa"/>
          </w:tblCellMar>
        </w:tblPrEx>
        <w:trPr>
          <w:trHeight w:val="706" w:hRule="atLeast"/>
          <w:jc w:val="center"/>
        </w:trPr>
        <w:tc>
          <w:tcPr>
            <w:tcW w:w="591" w:type="dxa"/>
            <w:vMerge w:val="continue"/>
            <w:tcBorders>
              <w:top w:val="nil"/>
              <w:left w:val="single" w:color="auto" w:sz="4" w:space="0"/>
              <w:bottom w:val="nil"/>
              <w:right w:val="single" w:color="auto" w:sz="4" w:space="0"/>
            </w:tcBorders>
            <w:noWrap w:val="0"/>
            <w:vAlign w:val="center"/>
          </w:tcPr>
          <w:p w14:paraId="2E7225CF">
            <w:pPr>
              <w:widowControl/>
              <w:spacing w:line="240" w:lineRule="exact"/>
              <w:jc w:val="left"/>
              <w:rPr>
                <w:rFonts w:ascii="仿宋_GB2312" w:hAnsi="宋体" w:eastAsia="仿宋_GB2312"/>
                <w:kern w:val="0"/>
                <w:sz w:val="18"/>
                <w:szCs w:val="18"/>
              </w:rPr>
            </w:pPr>
          </w:p>
        </w:tc>
        <w:tc>
          <w:tcPr>
            <w:tcW w:w="985" w:type="dxa"/>
            <w:vMerge w:val="restart"/>
            <w:tcBorders>
              <w:top w:val="nil"/>
              <w:left w:val="nil"/>
              <w:bottom w:val="single" w:color="auto" w:sz="4" w:space="0"/>
              <w:right w:val="single" w:color="auto" w:sz="4" w:space="0"/>
            </w:tcBorders>
            <w:noWrap w:val="0"/>
            <w:vAlign w:val="center"/>
          </w:tcPr>
          <w:p w14:paraId="55CCC5A9">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效益指标（30分）</w:t>
            </w:r>
          </w:p>
        </w:tc>
        <w:tc>
          <w:tcPr>
            <w:tcW w:w="1117" w:type="dxa"/>
            <w:tcBorders>
              <w:top w:val="nil"/>
              <w:left w:val="nil"/>
              <w:bottom w:val="single" w:color="auto" w:sz="4" w:space="0"/>
              <w:right w:val="single" w:color="auto" w:sz="4" w:space="0"/>
            </w:tcBorders>
            <w:noWrap w:val="0"/>
            <w:vAlign w:val="center"/>
          </w:tcPr>
          <w:p w14:paraId="2C455972">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经济效益</w:t>
            </w:r>
          </w:p>
          <w:p w14:paraId="2FEE87B6">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指标</w:t>
            </w:r>
          </w:p>
        </w:tc>
        <w:tc>
          <w:tcPr>
            <w:tcW w:w="2275" w:type="dxa"/>
            <w:gridSpan w:val="3"/>
            <w:tcBorders>
              <w:top w:val="single" w:color="auto" w:sz="4" w:space="0"/>
              <w:left w:val="nil"/>
              <w:right w:val="single" w:color="auto" w:sz="4" w:space="0"/>
            </w:tcBorders>
            <w:noWrap w:val="0"/>
            <w:vAlign w:val="center"/>
          </w:tcPr>
          <w:p w14:paraId="5E7E5BF6">
            <w:pPr>
              <w:widowControl/>
              <w:spacing w:line="240" w:lineRule="exact"/>
              <w:jc w:val="left"/>
              <w:rPr>
                <w:rFonts w:hint="eastAsia" w:ascii="仿宋_GB2312" w:hAnsi="宋体" w:eastAsia="仿宋_GB2312"/>
                <w:color w:val="000000"/>
                <w:kern w:val="0"/>
                <w:sz w:val="18"/>
                <w:szCs w:val="18"/>
                <w:lang w:eastAsia="zh-CN"/>
              </w:rPr>
            </w:pPr>
            <w:r>
              <w:rPr>
                <w:rFonts w:hint="eastAsia" w:ascii="仿宋_GB2312" w:hAnsi="宋体" w:eastAsia="仿宋_GB2312"/>
                <w:color w:val="000000"/>
                <w:kern w:val="0"/>
                <w:sz w:val="15"/>
                <w:szCs w:val="15"/>
                <w:lang w:eastAsia="zh-CN"/>
              </w:rPr>
              <w:t>市人大代表能够认真履行职责，充分发挥党和国家机关联系人民群众的桥梁和纽带作用</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709D1853">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较为认可</w:t>
            </w:r>
          </w:p>
        </w:tc>
        <w:tc>
          <w:tcPr>
            <w:tcW w:w="727" w:type="dxa"/>
            <w:tcBorders>
              <w:top w:val="single" w:color="auto" w:sz="4" w:space="0"/>
              <w:left w:val="nil"/>
              <w:bottom w:val="single" w:color="auto" w:sz="4" w:space="0"/>
              <w:right w:val="single" w:color="auto" w:sz="4" w:space="0"/>
            </w:tcBorders>
            <w:noWrap w:val="0"/>
            <w:vAlign w:val="center"/>
          </w:tcPr>
          <w:p w14:paraId="1D1F536A">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100%</w:t>
            </w:r>
          </w:p>
        </w:tc>
        <w:tc>
          <w:tcPr>
            <w:tcW w:w="570" w:type="dxa"/>
            <w:gridSpan w:val="2"/>
            <w:tcBorders>
              <w:top w:val="single" w:color="auto" w:sz="4" w:space="0"/>
              <w:left w:val="nil"/>
              <w:bottom w:val="single" w:color="auto" w:sz="4" w:space="0"/>
              <w:right w:val="single" w:color="auto" w:sz="4" w:space="0"/>
            </w:tcBorders>
            <w:noWrap w:val="0"/>
            <w:vAlign w:val="center"/>
          </w:tcPr>
          <w:p w14:paraId="68536E19">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w:t>
            </w:r>
          </w:p>
        </w:tc>
        <w:tc>
          <w:tcPr>
            <w:tcW w:w="570" w:type="dxa"/>
            <w:gridSpan w:val="2"/>
            <w:tcBorders>
              <w:top w:val="single" w:color="auto" w:sz="4" w:space="0"/>
              <w:left w:val="nil"/>
              <w:bottom w:val="single" w:color="auto" w:sz="4" w:space="0"/>
              <w:right w:val="single" w:color="auto" w:sz="4" w:space="0"/>
            </w:tcBorders>
            <w:noWrap w:val="0"/>
            <w:vAlign w:val="center"/>
          </w:tcPr>
          <w:p w14:paraId="1957A63B">
            <w:pPr>
              <w:widowControl/>
              <w:spacing w:line="240" w:lineRule="exact"/>
              <w:jc w:val="center"/>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10</w:t>
            </w:r>
          </w:p>
        </w:tc>
        <w:tc>
          <w:tcPr>
            <w:tcW w:w="1424" w:type="dxa"/>
            <w:gridSpan w:val="2"/>
            <w:tcBorders>
              <w:top w:val="single" w:color="auto" w:sz="4" w:space="0"/>
              <w:left w:val="nil"/>
              <w:bottom w:val="single" w:color="auto" w:sz="4" w:space="0"/>
              <w:right w:val="single" w:color="auto" w:sz="4" w:space="0"/>
            </w:tcBorders>
            <w:noWrap w:val="0"/>
            <w:vAlign w:val="center"/>
          </w:tcPr>
          <w:p w14:paraId="1A3217F4">
            <w:pPr>
              <w:widowControl/>
              <w:spacing w:line="240" w:lineRule="exact"/>
              <w:jc w:val="center"/>
              <w:rPr>
                <w:rFonts w:ascii="仿宋_GB2312" w:hAnsi="宋体" w:eastAsia="仿宋_GB2312"/>
                <w:kern w:val="0"/>
                <w:sz w:val="18"/>
                <w:szCs w:val="18"/>
              </w:rPr>
            </w:pPr>
          </w:p>
        </w:tc>
      </w:tr>
      <w:tr w14:paraId="6C4E3A80">
        <w:tblPrEx>
          <w:tblCellMar>
            <w:top w:w="0" w:type="dxa"/>
            <w:left w:w="108" w:type="dxa"/>
            <w:bottom w:w="0" w:type="dxa"/>
            <w:right w:w="108" w:type="dxa"/>
          </w:tblCellMar>
        </w:tblPrEx>
        <w:trPr>
          <w:trHeight w:val="384" w:hRule="atLeast"/>
          <w:jc w:val="center"/>
        </w:trPr>
        <w:tc>
          <w:tcPr>
            <w:tcW w:w="591" w:type="dxa"/>
            <w:vMerge w:val="continue"/>
            <w:tcBorders>
              <w:top w:val="nil"/>
              <w:left w:val="single" w:color="auto" w:sz="4" w:space="0"/>
              <w:bottom w:val="nil"/>
              <w:right w:val="single" w:color="auto" w:sz="4" w:space="0"/>
            </w:tcBorders>
            <w:noWrap w:val="0"/>
            <w:vAlign w:val="center"/>
          </w:tcPr>
          <w:p w14:paraId="0ABC62AD">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noWrap w:val="0"/>
            <w:vAlign w:val="center"/>
          </w:tcPr>
          <w:p w14:paraId="0B235F8B">
            <w:pPr>
              <w:widowControl/>
              <w:spacing w:line="240" w:lineRule="exact"/>
              <w:jc w:val="left"/>
              <w:rPr>
                <w:rFonts w:ascii="仿宋_GB2312" w:hAnsi="宋体" w:eastAsia="仿宋_GB2312"/>
                <w:kern w:val="0"/>
                <w:sz w:val="18"/>
                <w:szCs w:val="18"/>
              </w:rPr>
            </w:pPr>
          </w:p>
        </w:tc>
        <w:tc>
          <w:tcPr>
            <w:tcW w:w="1117" w:type="dxa"/>
            <w:tcBorders>
              <w:top w:val="nil"/>
              <w:left w:val="nil"/>
              <w:bottom w:val="single" w:color="auto" w:sz="4" w:space="0"/>
              <w:right w:val="single" w:color="auto" w:sz="4" w:space="0"/>
            </w:tcBorders>
            <w:noWrap w:val="0"/>
            <w:vAlign w:val="center"/>
          </w:tcPr>
          <w:p w14:paraId="02CEF2E6">
            <w:pPr>
              <w:keepNext w:val="0"/>
              <w:keepLines w:val="0"/>
              <w:pageBreakBefore w:val="0"/>
              <w:widowControl/>
              <w:kinsoku/>
              <w:wordWrap/>
              <w:overflowPunct/>
              <w:topLinePunct w:val="0"/>
              <w:autoSpaceDE/>
              <w:autoSpaceDN/>
              <w:bidi w:val="0"/>
              <w:adjustRightInd/>
              <w:snapToGrid/>
              <w:spacing w:line="0" w:lineRule="atLeast"/>
              <w:jc w:val="center"/>
              <w:rPr>
                <w:rFonts w:ascii="仿宋_GB2312" w:hAnsi="宋体" w:eastAsia="仿宋_GB2312"/>
                <w:kern w:val="0"/>
                <w:sz w:val="16"/>
                <w:szCs w:val="16"/>
              </w:rPr>
            </w:pPr>
            <w:r>
              <w:rPr>
                <w:rFonts w:hint="eastAsia" w:ascii="仿宋_GB2312" w:hAnsi="宋体" w:eastAsia="仿宋_GB2312"/>
                <w:kern w:val="0"/>
                <w:sz w:val="16"/>
                <w:szCs w:val="16"/>
              </w:rPr>
              <w:t>社会效益</w:t>
            </w:r>
          </w:p>
          <w:p w14:paraId="2DA43489">
            <w:pPr>
              <w:keepNext w:val="0"/>
              <w:keepLines w:val="0"/>
              <w:pageBreakBefore w:val="0"/>
              <w:widowControl/>
              <w:kinsoku/>
              <w:wordWrap/>
              <w:overflowPunct/>
              <w:topLinePunct w:val="0"/>
              <w:autoSpaceDE/>
              <w:autoSpaceDN/>
              <w:bidi w:val="0"/>
              <w:adjustRightInd/>
              <w:snapToGrid/>
              <w:spacing w:line="0" w:lineRule="atLeast"/>
              <w:jc w:val="center"/>
              <w:rPr>
                <w:rFonts w:ascii="仿宋_GB2312" w:hAnsi="宋体" w:eastAsia="仿宋_GB2312"/>
                <w:kern w:val="0"/>
                <w:sz w:val="16"/>
                <w:szCs w:val="16"/>
              </w:rPr>
            </w:pPr>
            <w:r>
              <w:rPr>
                <w:rFonts w:hint="eastAsia" w:ascii="仿宋_GB2312" w:hAnsi="宋体" w:eastAsia="仿宋_GB2312"/>
                <w:kern w:val="0"/>
                <w:sz w:val="16"/>
                <w:szCs w:val="16"/>
              </w:rPr>
              <w:t>指标</w:t>
            </w:r>
          </w:p>
        </w:tc>
        <w:tc>
          <w:tcPr>
            <w:tcW w:w="2275" w:type="dxa"/>
            <w:gridSpan w:val="3"/>
            <w:tcBorders>
              <w:top w:val="single" w:color="auto" w:sz="4" w:space="0"/>
              <w:left w:val="nil"/>
              <w:right w:val="single" w:color="auto" w:sz="4" w:space="0"/>
            </w:tcBorders>
            <w:noWrap w:val="0"/>
            <w:vAlign w:val="center"/>
          </w:tcPr>
          <w:p w14:paraId="24DB3EA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kern w:val="2"/>
                <w:sz w:val="11"/>
                <w:szCs w:val="11"/>
                <w:u w:val="none"/>
                <w:lang w:val="en-US" w:eastAsia="zh-CN" w:bidi="ar-SA"/>
              </w:rPr>
            </w:pPr>
            <w:r>
              <w:rPr>
                <w:rFonts w:hint="eastAsia" w:ascii="仿宋" w:hAnsi="仿宋" w:eastAsia="仿宋" w:cs="仿宋"/>
                <w:i w:val="0"/>
                <w:iCs w:val="0"/>
                <w:color w:val="000000"/>
                <w:kern w:val="0"/>
                <w:sz w:val="15"/>
                <w:szCs w:val="15"/>
                <w:u w:val="none"/>
                <w:lang w:val="en-US" w:eastAsia="zh-CN" w:bidi="ar"/>
              </w:rPr>
              <w:t xml:space="preserve"> 完成国民经济和社会发展计划执行情况报告审议工作</w:t>
            </w:r>
          </w:p>
        </w:tc>
        <w:tc>
          <w:tcPr>
            <w:tcW w:w="865" w:type="dxa"/>
            <w:tcBorders>
              <w:top w:val="single" w:color="auto" w:sz="4" w:space="0"/>
              <w:left w:val="nil"/>
              <w:right w:val="single" w:color="auto" w:sz="4" w:space="0"/>
            </w:tcBorders>
            <w:noWrap w:val="0"/>
            <w:vAlign w:val="center"/>
          </w:tcPr>
          <w:p w14:paraId="41A26668">
            <w:pPr>
              <w:widowControl/>
              <w:spacing w:line="240" w:lineRule="exact"/>
              <w:jc w:val="center"/>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良好</w:t>
            </w:r>
          </w:p>
        </w:tc>
        <w:tc>
          <w:tcPr>
            <w:tcW w:w="727" w:type="dxa"/>
            <w:tcBorders>
              <w:top w:val="single" w:color="auto" w:sz="4" w:space="0"/>
              <w:left w:val="nil"/>
              <w:right w:val="single" w:color="auto" w:sz="4" w:space="0"/>
            </w:tcBorders>
            <w:noWrap w:val="0"/>
            <w:vAlign w:val="center"/>
          </w:tcPr>
          <w:p w14:paraId="06B16E2E">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lang w:val="en-US" w:eastAsia="zh-CN"/>
              </w:rPr>
              <w:t>100%</w:t>
            </w:r>
          </w:p>
        </w:tc>
        <w:tc>
          <w:tcPr>
            <w:tcW w:w="570" w:type="dxa"/>
            <w:gridSpan w:val="2"/>
            <w:tcBorders>
              <w:top w:val="single" w:color="auto" w:sz="4" w:space="0"/>
              <w:left w:val="nil"/>
              <w:right w:val="single" w:color="auto" w:sz="4" w:space="0"/>
            </w:tcBorders>
            <w:noWrap w:val="0"/>
            <w:vAlign w:val="center"/>
          </w:tcPr>
          <w:p w14:paraId="2DC4EE4C">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w:t>
            </w:r>
          </w:p>
        </w:tc>
        <w:tc>
          <w:tcPr>
            <w:tcW w:w="570" w:type="dxa"/>
            <w:gridSpan w:val="2"/>
            <w:tcBorders>
              <w:top w:val="single" w:color="auto" w:sz="4" w:space="0"/>
              <w:left w:val="nil"/>
              <w:right w:val="single" w:color="auto" w:sz="4" w:space="0"/>
            </w:tcBorders>
            <w:noWrap w:val="0"/>
            <w:vAlign w:val="center"/>
          </w:tcPr>
          <w:p w14:paraId="00BD0839">
            <w:pPr>
              <w:widowControl/>
              <w:spacing w:line="240" w:lineRule="exact"/>
              <w:jc w:val="center"/>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8</w:t>
            </w:r>
          </w:p>
        </w:tc>
        <w:tc>
          <w:tcPr>
            <w:tcW w:w="1424" w:type="dxa"/>
            <w:gridSpan w:val="2"/>
            <w:tcBorders>
              <w:top w:val="single" w:color="auto" w:sz="4" w:space="0"/>
              <w:left w:val="nil"/>
              <w:bottom w:val="single" w:color="auto" w:sz="4" w:space="0"/>
              <w:right w:val="single" w:color="auto" w:sz="4" w:space="0"/>
            </w:tcBorders>
            <w:noWrap w:val="0"/>
            <w:vAlign w:val="center"/>
          </w:tcPr>
          <w:p w14:paraId="509FEF30">
            <w:pPr>
              <w:widowControl/>
              <w:spacing w:line="240" w:lineRule="exact"/>
              <w:jc w:val="center"/>
              <w:rPr>
                <w:rFonts w:ascii="仿宋_GB2312" w:hAnsi="宋体" w:eastAsia="仿宋_GB2312"/>
                <w:kern w:val="0"/>
                <w:sz w:val="18"/>
                <w:szCs w:val="18"/>
              </w:rPr>
            </w:pPr>
          </w:p>
        </w:tc>
      </w:tr>
      <w:tr w14:paraId="5000B387">
        <w:tblPrEx>
          <w:tblCellMar>
            <w:top w:w="0" w:type="dxa"/>
            <w:left w:w="108" w:type="dxa"/>
            <w:bottom w:w="0" w:type="dxa"/>
            <w:right w:w="108" w:type="dxa"/>
          </w:tblCellMar>
        </w:tblPrEx>
        <w:trPr>
          <w:trHeight w:val="402" w:hRule="atLeast"/>
          <w:jc w:val="center"/>
        </w:trPr>
        <w:tc>
          <w:tcPr>
            <w:tcW w:w="591" w:type="dxa"/>
            <w:vMerge w:val="continue"/>
            <w:tcBorders>
              <w:top w:val="nil"/>
              <w:left w:val="single" w:color="auto" w:sz="4" w:space="0"/>
              <w:bottom w:val="nil"/>
              <w:right w:val="single" w:color="auto" w:sz="4" w:space="0"/>
            </w:tcBorders>
            <w:noWrap w:val="0"/>
            <w:vAlign w:val="center"/>
          </w:tcPr>
          <w:p w14:paraId="2927C165">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noWrap w:val="0"/>
            <w:vAlign w:val="center"/>
          </w:tcPr>
          <w:p w14:paraId="26B0816E">
            <w:pPr>
              <w:widowControl/>
              <w:spacing w:line="240" w:lineRule="exact"/>
              <w:jc w:val="left"/>
              <w:rPr>
                <w:rFonts w:ascii="仿宋_GB2312" w:hAnsi="宋体" w:eastAsia="仿宋_GB2312"/>
                <w:kern w:val="0"/>
                <w:sz w:val="18"/>
                <w:szCs w:val="18"/>
              </w:rPr>
            </w:pPr>
          </w:p>
        </w:tc>
        <w:tc>
          <w:tcPr>
            <w:tcW w:w="1117" w:type="dxa"/>
            <w:tcBorders>
              <w:top w:val="nil"/>
              <w:left w:val="nil"/>
              <w:bottom w:val="single" w:color="auto" w:sz="4" w:space="0"/>
              <w:right w:val="single" w:color="auto" w:sz="4" w:space="0"/>
            </w:tcBorders>
            <w:noWrap w:val="0"/>
            <w:vAlign w:val="center"/>
          </w:tcPr>
          <w:p w14:paraId="0961F8BE">
            <w:pPr>
              <w:widowControl/>
              <w:spacing w:line="240" w:lineRule="exact"/>
              <w:jc w:val="center"/>
              <w:rPr>
                <w:rFonts w:ascii="仿宋_GB2312" w:hAnsi="宋体" w:eastAsia="仿宋_GB2312"/>
                <w:kern w:val="0"/>
                <w:sz w:val="16"/>
                <w:szCs w:val="16"/>
              </w:rPr>
            </w:pPr>
            <w:r>
              <w:rPr>
                <w:rFonts w:hint="eastAsia" w:ascii="仿宋_GB2312" w:hAnsi="宋体" w:eastAsia="仿宋_GB2312"/>
                <w:kern w:val="0"/>
                <w:sz w:val="16"/>
                <w:szCs w:val="16"/>
              </w:rPr>
              <w:t>可持续影响指标</w:t>
            </w:r>
          </w:p>
        </w:tc>
        <w:tc>
          <w:tcPr>
            <w:tcW w:w="2275" w:type="dxa"/>
            <w:gridSpan w:val="3"/>
            <w:tcBorders>
              <w:top w:val="single" w:color="auto" w:sz="4" w:space="0"/>
              <w:left w:val="nil"/>
              <w:right w:val="single" w:color="auto" w:sz="4" w:space="0"/>
            </w:tcBorders>
            <w:noWrap w:val="0"/>
            <w:vAlign w:val="center"/>
          </w:tcPr>
          <w:p w14:paraId="3AB82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构建大服务格局</w:t>
            </w:r>
          </w:p>
        </w:tc>
        <w:tc>
          <w:tcPr>
            <w:tcW w:w="865" w:type="dxa"/>
            <w:tcBorders>
              <w:top w:val="single" w:color="auto" w:sz="4" w:space="0"/>
              <w:left w:val="nil"/>
              <w:right w:val="single" w:color="auto" w:sz="4" w:space="0"/>
            </w:tcBorders>
            <w:noWrap w:val="0"/>
            <w:vAlign w:val="center"/>
          </w:tcPr>
          <w:p w14:paraId="0B7D6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服务格局提升</w:t>
            </w:r>
          </w:p>
        </w:tc>
        <w:tc>
          <w:tcPr>
            <w:tcW w:w="727" w:type="dxa"/>
            <w:tcBorders>
              <w:top w:val="single" w:color="auto" w:sz="4" w:space="0"/>
              <w:left w:val="nil"/>
              <w:right w:val="single" w:color="auto" w:sz="4" w:space="0"/>
            </w:tcBorders>
            <w:noWrap w:val="0"/>
            <w:vAlign w:val="center"/>
          </w:tcPr>
          <w:p w14:paraId="3FA998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0"/>
                <w:szCs w:val="10"/>
                <w:u w:val="none"/>
                <w:lang w:val="en-US" w:eastAsia="zh-CN" w:bidi="ar"/>
              </w:rPr>
              <w:t>逐步实现大服务格局</w:t>
            </w:r>
          </w:p>
        </w:tc>
        <w:tc>
          <w:tcPr>
            <w:tcW w:w="570" w:type="dxa"/>
            <w:gridSpan w:val="2"/>
            <w:tcBorders>
              <w:top w:val="single" w:color="auto" w:sz="4" w:space="0"/>
              <w:left w:val="nil"/>
              <w:right w:val="single" w:color="auto" w:sz="4" w:space="0"/>
            </w:tcBorders>
            <w:noWrap w:val="0"/>
            <w:vAlign w:val="center"/>
          </w:tcPr>
          <w:p w14:paraId="42FFA1D4">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w:t>
            </w:r>
          </w:p>
        </w:tc>
        <w:tc>
          <w:tcPr>
            <w:tcW w:w="570" w:type="dxa"/>
            <w:gridSpan w:val="2"/>
            <w:tcBorders>
              <w:top w:val="single" w:color="auto" w:sz="4" w:space="0"/>
              <w:left w:val="nil"/>
              <w:right w:val="single" w:color="auto" w:sz="4" w:space="0"/>
            </w:tcBorders>
            <w:noWrap w:val="0"/>
            <w:vAlign w:val="center"/>
          </w:tcPr>
          <w:p w14:paraId="6DDED1A2">
            <w:pPr>
              <w:widowControl/>
              <w:spacing w:line="240" w:lineRule="exact"/>
              <w:jc w:val="center"/>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10</w:t>
            </w:r>
          </w:p>
        </w:tc>
        <w:tc>
          <w:tcPr>
            <w:tcW w:w="1424" w:type="dxa"/>
            <w:gridSpan w:val="2"/>
            <w:tcBorders>
              <w:top w:val="single" w:color="auto" w:sz="4" w:space="0"/>
              <w:left w:val="nil"/>
              <w:bottom w:val="single" w:color="auto" w:sz="4" w:space="0"/>
              <w:right w:val="single" w:color="auto" w:sz="4" w:space="0"/>
            </w:tcBorders>
            <w:noWrap w:val="0"/>
            <w:vAlign w:val="center"/>
          </w:tcPr>
          <w:p w14:paraId="73D08E85">
            <w:pPr>
              <w:widowControl/>
              <w:spacing w:line="240" w:lineRule="exact"/>
              <w:jc w:val="center"/>
              <w:rPr>
                <w:rFonts w:ascii="仿宋_GB2312" w:hAnsi="宋体" w:eastAsia="仿宋_GB2312"/>
                <w:kern w:val="0"/>
                <w:sz w:val="18"/>
                <w:szCs w:val="18"/>
              </w:rPr>
            </w:pPr>
          </w:p>
        </w:tc>
      </w:tr>
      <w:tr w14:paraId="699FD6AF">
        <w:tblPrEx>
          <w:tblCellMar>
            <w:top w:w="0" w:type="dxa"/>
            <w:left w:w="108" w:type="dxa"/>
            <w:bottom w:w="0" w:type="dxa"/>
            <w:right w:w="108" w:type="dxa"/>
          </w:tblCellMar>
        </w:tblPrEx>
        <w:trPr>
          <w:trHeight w:val="681" w:hRule="atLeast"/>
          <w:jc w:val="center"/>
        </w:trPr>
        <w:tc>
          <w:tcPr>
            <w:tcW w:w="591" w:type="dxa"/>
            <w:vMerge w:val="continue"/>
            <w:tcBorders>
              <w:top w:val="nil"/>
              <w:left w:val="single" w:color="auto" w:sz="4" w:space="0"/>
              <w:bottom w:val="nil"/>
              <w:right w:val="single" w:color="auto" w:sz="4" w:space="0"/>
            </w:tcBorders>
            <w:noWrap w:val="0"/>
            <w:vAlign w:val="center"/>
          </w:tcPr>
          <w:p w14:paraId="6CEB6CA8">
            <w:pPr>
              <w:widowControl/>
              <w:spacing w:line="240" w:lineRule="exact"/>
              <w:jc w:val="left"/>
              <w:rPr>
                <w:rFonts w:ascii="仿宋_GB2312" w:hAnsi="宋体" w:eastAsia="仿宋_GB2312"/>
                <w:kern w:val="0"/>
                <w:sz w:val="18"/>
                <w:szCs w:val="18"/>
              </w:rPr>
            </w:pPr>
          </w:p>
        </w:tc>
        <w:tc>
          <w:tcPr>
            <w:tcW w:w="985" w:type="dxa"/>
            <w:tcBorders>
              <w:top w:val="nil"/>
              <w:left w:val="nil"/>
              <w:bottom w:val="nil"/>
              <w:right w:val="single" w:color="auto" w:sz="4" w:space="0"/>
            </w:tcBorders>
            <w:noWrap w:val="0"/>
            <w:vAlign w:val="center"/>
          </w:tcPr>
          <w:p w14:paraId="5236A3CA">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满意度</w:t>
            </w:r>
          </w:p>
          <w:p w14:paraId="3B8922C9">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指标</w:t>
            </w:r>
          </w:p>
          <w:p w14:paraId="500360E8">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（10分）</w:t>
            </w:r>
          </w:p>
        </w:tc>
        <w:tc>
          <w:tcPr>
            <w:tcW w:w="1117" w:type="dxa"/>
            <w:tcBorders>
              <w:top w:val="nil"/>
              <w:left w:val="nil"/>
              <w:bottom w:val="single" w:color="auto" w:sz="4" w:space="0"/>
              <w:right w:val="single" w:color="auto" w:sz="4" w:space="0"/>
            </w:tcBorders>
            <w:noWrap w:val="0"/>
            <w:vAlign w:val="center"/>
          </w:tcPr>
          <w:p w14:paraId="230CEACB">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服务对象满意度指标</w:t>
            </w:r>
          </w:p>
        </w:tc>
        <w:tc>
          <w:tcPr>
            <w:tcW w:w="2275" w:type="dxa"/>
            <w:gridSpan w:val="3"/>
            <w:tcBorders>
              <w:top w:val="single" w:color="auto" w:sz="4" w:space="0"/>
              <w:left w:val="nil"/>
              <w:right w:val="single" w:color="auto" w:sz="4" w:space="0"/>
            </w:tcBorders>
            <w:noWrap w:val="0"/>
            <w:vAlign w:val="center"/>
          </w:tcPr>
          <w:p w14:paraId="2018E949">
            <w:pPr>
              <w:widowControl/>
              <w:spacing w:line="240" w:lineRule="exact"/>
              <w:jc w:val="left"/>
              <w:rPr>
                <w:rFonts w:hint="eastAsia" w:ascii="仿宋_GB2312" w:hAnsi="宋体" w:eastAsia="仿宋_GB2312"/>
                <w:color w:val="000000"/>
                <w:kern w:val="0"/>
                <w:sz w:val="18"/>
                <w:szCs w:val="18"/>
                <w:lang w:eastAsia="zh-CN"/>
              </w:rPr>
            </w:pPr>
            <w:r>
              <w:rPr>
                <w:rFonts w:hint="eastAsia" w:ascii="仿宋_GB2312" w:hAnsi="宋体" w:eastAsia="仿宋_GB2312"/>
                <w:color w:val="000000"/>
                <w:kern w:val="0"/>
                <w:sz w:val="18"/>
                <w:szCs w:val="18"/>
                <w:lang w:eastAsia="zh-CN"/>
              </w:rPr>
              <w:t>市人大代表满意率</w:t>
            </w:r>
          </w:p>
          <w:p w14:paraId="3C9D97F9">
            <w:pPr>
              <w:widowControl/>
              <w:spacing w:line="240" w:lineRule="exact"/>
              <w:jc w:val="left"/>
              <w:rPr>
                <w:rFonts w:ascii="仿宋_GB2312" w:hAnsi="宋体" w:eastAsia="仿宋_GB2312"/>
                <w:color w:val="000000"/>
                <w:kern w:val="0"/>
                <w:sz w:val="18"/>
                <w:szCs w:val="18"/>
              </w:rPr>
            </w:pPr>
          </w:p>
        </w:tc>
        <w:tc>
          <w:tcPr>
            <w:tcW w:w="865" w:type="dxa"/>
            <w:tcBorders>
              <w:top w:val="single" w:color="auto" w:sz="4" w:space="0"/>
              <w:left w:val="single" w:color="auto" w:sz="4" w:space="0"/>
              <w:bottom w:val="single" w:color="auto" w:sz="4" w:space="0"/>
              <w:right w:val="single" w:color="auto" w:sz="4" w:space="0"/>
            </w:tcBorders>
            <w:noWrap w:val="0"/>
            <w:vAlign w:val="center"/>
          </w:tcPr>
          <w:p w14:paraId="4F18A856">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95%</w:t>
            </w:r>
          </w:p>
        </w:tc>
        <w:tc>
          <w:tcPr>
            <w:tcW w:w="727" w:type="dxa"/>
            <w:tcBorders>
              <w:top w:val="single" w:color="auto" w:sz="4" w:space="0"/>
              <w:left w:val="nil"/>
              <w:bottom w:val="single" w:color="auto" w:sz="4" w:space="0"/>
              <w:right w:val="single" w:color="auto" w:sz="4" w:space="0"/>
            </w:tcBorders>
            <w:noWrap w:val="0"/>
            <w:vAlign w:val="center"/>
          </w:tcPr>
          <w:p w14:paraId="0ED49A32">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lang w:val="en-US" w:eastAsia="zh-CN"/>
              </w:rPr>
              <w:t>95%</w:t>
            </w:r>
          </w:p>
        </w:tc>
        <w:tc>
          <w:tcPr>
            <w:tcW w:w="570" w:type="dxa"/>
            <w:gridSpan w:val="2"/>
            <w:tcBorders>
              <w:top w:val="single" w:color="auto" w:sz="4" w:space="0"/>
              <w:left w:val="nil"/>
              <w:bottom w:val="single" w:color="auto" w:sz="4" w:space="0"/>
              <w:right w:val="single" w:color="auto" w:sz="4" w:space="0"/>
            </w:tcBorders>
            <w:noWrap w:val="0"/>
            <w:vAlign w:val="center"/>
          </w:tcPr>
          <w:p w14:paraId="7CBB3593">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w:t>
            </w:r>
          </w:p>
        </w:tc>
        <w:tc>
          <w:tcPr>
            <w:tcW w:w="570" w:type="dxa"/>
            <w:gridSpan w:val="2"/>
            <w:tcBorders>
              <w:top w:val="single" w:color="auto" w:sz="4" w:space="0"/>
              <w:left w:val="nil"/>
              <w:bottom w:val="single" w:color="auto" w:sz="4" w:space="0"/>
              <w:right w:val="single" w:color="auto" w:sz="4" w:space="0"/>
            </w:tcBorders>
            <w:noWrap w:val="0"/>
            <w:vAlign w:val="center"/>
          </w:tcPr>
          <w:p w14:paraId="197174C0">
            <w:pPr>
              <w:widowControl/>
              <w:spacing w:line="240" w:lineRule="exact"/>
              <w:jc w:val="center"/>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8</w:t>
            </w:r>
          </w:p>
        </w:tc>
        <w:tc>
          <w:tcPr>
            <w:tcW w:w="1424" w:type="dxa"/>
            <w:gridSpan w:val="2"/>
            <w:tcBorders>
              <w:top w:val="single" w:color="auto" w:sz="4" w:space="0"/>
              <w:left w:val="nil"/>
              <w:bottom w:val="single" w:color="auto" w:sz="4" w:space="0"/>
              <w:right w:val="single" w:color="auto" w:sz="4" w:space="0"/>
            </w:tcBorders>
            <w:noWrap w:val="0"/>
            <w:vAlign w:val="center"/>
          </w:tcPr>
          <w:p w14:paraId="4EE5E8CE">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满意度90-95%计8分，</w:t>
            </w:r>
          </w:p>
        </w:tc>
      </w:tr>
      <w:tr w14:paraId="60B685B1">
        <w:tblPrEx>
          <w:tblCellMar>
            <w:top w:w="0" w:type="dxa"/>
            <w:left w:w="108" w:type="dxa"/>
            <w:bottom w:w="0" w:type="dxa"/>
            <w:right w:w="108" w:type="dxa"/>
          </w:tblCellMar>
        </w:tblPrEx>
        <w:trPr>
          <w:trHeight w:val="465" w:hRule="atLeast"/>
          <w:jc w:val="center"/>
        </w:trPr>
        <w:tc>
          <w:tcPr>
            <w:tcW w:w="6560" w:type="dxa"/>
            <w:gridSpan w:val="8"/>
            <w:tcBorders>
              <w:top w:val="single" w:color="auto" w:sz="4" w:space="0"/>
              <w:left w:val="single" w:color="auto" w:sz="4" w:space="0"/>
              <w:bottom w:val="single" w:color="auto" w:sz="4" w:space="0"/>
              <w:right w:val="single" w:color="auto" w:sz="4" w:space="0"/>
            </w:tcBorders>
            <w:noWrap w:val="0"/>
            <w:vAlign w:val="center"/>
          </w:tcPr>
          <w:p w14:paraId="0DF3932F">
            <w:pPr>
              <w:widowControl/>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总分</w:t>
            </w:r>
          </w:p>
        </w:tc>
        <w:tc>
          <w:tcPr>
            <w:tcW w:w="570" w:type="dxa"/>
            <w:gridSpan w:val="2"/>
            <w:tcBorders>
              <w:top w:val="nil"/>
              <w:left w:val="nil"/>
              <w:bottom w:val="single" w:color="auto" w:sz="4" w:space="0"/>
              <w:right w:val="single" w:color="auto" w:sz="4" w:space="0"/>
            </w:tcBorders>
            <w:noWrap w:val="0"/>
            <w:vAlign w:val="center"/>
          </w:tcPr>
          <w:p w14:paraId="7D98CC33">
            <w:pPr>
              <w:widowControl/>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100</w:t>
            </w:r>
          </w:p>
        </w:tc>
        <w:tc>
          <w:tcPr>
            <w:tcW w:w="570" w:type="dxa"/>
            <w:gridSpan w:val="2"/>
            <w:tcBorders>
              <w:top w:val="nil"/>
              <w:left w:val="nil"/>
              <w:bottom w:val="single" w:color="auto" w:sz="4" w:space="0"/>
              <w:right w:val="single" w:color="auto" w:sz="4" w:space="0"/>
            </w:tcBorders>
            <w:noWrap w:val="0"/>
            <w:vAlign w:val="center"/>
          </w:tcPr>
          <w:p w14:paraId="53AA8BF5">
            <w:pPr>
              <w:widowControl/>
              <w:spacing w:line="240" w:lineRule="exact"/>
              <w:jc w:val="center"/>
              <w:rPr>
                <w:rFonts w:hint="default" w:ascii="仿宋_GB2312" w:hAnsi="宋体" w:eastAsia="仿宋_GB2312"/>
                <w:color w:val="000000"/>
                <w:kern w:val="0"/>
                <w:sz w:val="18"/>
                <w:szCs w:val="18"/>
                <w:lang w:val="en-US" w:eastAsia="zh-CN"/>
              </w:rPr>
            </w:pPr>
            <w:r>
              <w:rPr>
                <w:rFonts w:hint="eastAsia" w:ascii="仿宋_GB2312" w:hAnsi="宋体" w:eastAsia="仿宋_GB2312"/>
                <w:color w:val="000000"/>
                <w:kern w:val="0"/>
                <w:sz w:val="18"/>
                <w:szCs w:val="18"/>
                <w:lang w:val="en-US" w:eastAsia="zh-CN"/>
              </w:rPr>
              <w:t>96</w:t>
            </w:r>
          </w:p>
        </w:tc>
        <w:tc>
          <w:tcPr>
            <w:tcW w:w="1424" w:type="dxa"/>
            <w:gridSpan w:val="2"/>
            <w:tcBorders>
              <w:top w:val="single" w:color="auto" w:sz="4" w:space="0"/>
              <w:left w:val="nil"/>
              <w:bottom w:val="single" w:color="auto" w:sz="4" w:space="0"/>
              <w:right w:val="single" w:color="auto" w:sz="4" w:space="0"/>
            </w:tcBorders>
            <w:noWrap w:val="0"/>
            <w:vAlign w:val="center"/>
          </w:tcPr>
          <w:p w14:paraId="5082D804">
            <w:pPr>
              <w:widowControl/>
              <w:spacing w:line="240" w:lineRule="exact"/>
              <w:jc w:val="center"/>
              <w:rPr>
                <w:rFonts w:ascii="仿宋_GB2312" w:hAnsi="宋体" w:eastAsia="仿宋_GB2312"/>
                <w:kern w:val="0"/>
                <w:sz w:val="18"/>
                <w:szCs w:val="18"/>
              </w:rPr>
            </w:pPr>
          </w:p>
        </w:tc>
      </w:tr>
    </w:tbl>
    <w:p w14:paraId="11382287">
      <w:pPr>
        <w:pStyle w:val="4"/>
        <w:spacing w:before="0" w:after="0" w:line="240" w:lineRule="exact"/>
        <w:rPr>
          <w:rFonts w:ascii="仿宋_GB2312" w:hAnsi="宋体" w:eastAsia="仿宋_GB2312"/>
          <w:b w:val="0"/>
          <w:bCs w:val="0"/>
          <w:sz w:val="18"/>
          <w:szCs w:val="18"/>
        </w:rPr>
      </w:pPr>
      <w:r>
        <w:rPr>
          <w:rFonts w:hint="eastAsia" w:ascii="仿宋_GB2312" w:hAnsi="宋体" w:eastAsia="仿宋_GB2312"/>
          <w:b w:val="0"/>
          <w:bCs w:val="0"/>
          <w:sz w:val="18"/>
          <w:szCs w:val="18"/>
        </w:rPr>
        <w:t>说明</w:t>
      </w:r>
      <w:r>
        <w:rPr>
          <w:rFonts w:ascii="仿宋_GB2312" w:hAnsi="宋体" w:eastAsia="仿宋_GB2312"/>
          <w:b w:val="0"/>
          <w:bCs w:val="0"/>
          <w:sz w:val="18"/>
          <w:szCs w:val="18"/>
        </w:rPr>
        <w:t>：</w:t>
      </w:r>
      <w:r>
        <w:rPr>
          <w:rFonts w:hint="eastAsia" w:ascii="仿宋_GB2312" w:hAnsi="宋体" w:eastAsia="仿宋_GB2312"/>
          <w:b w:val="0"/>
          <w:bCs w:val="0"/>
          <w:sz w:val="18"/>
          <w:szCs w:val="18"/>
        </w:rPr>
        <w:t>执行率=全年执行数/全年预算数×100%。</w:t>
      </w:r>
    </w:p>
    <w:p w14:paraId="5B1D17EF">
      <w:pPr>
        <w:spacing w:line="360" w:lineRule="exact"/>
        <w:rPr>
          <w:rFonts w:ascii="仿宋_GB2312" w:hAnsi="仿宋" w:eastAsia="仿宋_GB2312" w:cs="仿宋"/>
        </w:rPr>
      </w:pPr>
      <w:r>
        <w:rPr>
          <w:rFonts w:ascii="仿宋_GB2312" w:hAnsi="仿宋" w:eastAsia="仿宋_GB2312" w:cs="仿宋"/>
        </w:rPr>
        <w:t>单位负责人签字：</w:t>
      </w:r>
      <w:r>
        <w:rPr>
          <w:rFonts w:hint="eastAsia" w:ascii="仿宋_GB2312" w:hAnsi="仿宋" w:eastAsia="仿宋_GB2312" w:cs="仿宋"/>
        </w:rPr>
        <w:t xml:space="preserve">      </w:t>
      </w:r>
      <w:r>
        <w:rPr>
          <w:rFonts w:ascii="仿宋_GB2312" w:hAnsi="仿宋" w:eastAsia="仿宋_GB2312" w:cs="仿宋"/>
        </w:rPr>
        <w:t>填表人：</w:t>
      </w:r>
      <w:r>
        <w:rPr>
          <w:rFonts w:hint="eastAsia" w:ascii="仿宋_GB2312" w:hAnsi="仿宋" w:eastAsia="仿宋_GB2312" w:cs="仿宋"/>
          <w:lang w:eastAsia="zh-CN"/>
        </w:rPr>
        <w:t>向顺英</w:t>
      </w:r>
      <w:r>
        <w:rPr>
          <w:rFonts w:ascii="仿宋_GB2312" w:hAnsi="仿宋" w:eastAsia="仿宋_GB2312" w:cs="仿宋"/>
        </w:rPr>
        <w:t xml:space="preserve">  联系电话：</w:t>
      </w:r>
      <w:r>
        <w:rPr>
          <w:rFonts w:hint="eastAsia" w:ascii="仿宋_GB2312" w:hAnsi="仿宋" w:eastAsia="仿宋_GB2312" w:cs="仿宋"/>
        </w:rPr>
        <w:t xml:space="preserve">8520702   </w:t>
      </w:r>
      <w:r>
        <w:rPr>
          <w:rFonts w:ascii="仿宋_GB2312" w:hAnsi="仿宋" w:eastAsia="仿宋_GB2312" w:cs="仿宋"/>
        </w:rPr>
        <w:t>填报日期：</w:t>
      </w:r>
      <w:r>
        <w:rPr>
          <w:rFonts w:hint="eastAsia" w:ascii="仿宋_GB2312" w:hAnsi="仿宋" w:eastAsia="仿宋_GB2312" w:cs="仿宋"/>
          <w:lang w:val="en-US" w:eastAsia="zh-CN"/>
        </w:rPr>
        <w:t>2022</w:t>
      </w:r>
      <w:r>
        <w:rPr>
          <w:rFonts w:hint="eastAsia" w:ascii="仿宋_GB2312" w:hAnsi="仿宋" w:eastAsia="仿宋_GB2312" w:cs="仿宋"/>
        </w:rPr>
        <w:t>年</w:t>
      </w:r>
      <w:r>
        <w:rPr>
          <w:rFonts w:hint="eastAsia" w:ascii="仿宋_GB2312" w:hAnsi="仿宋" w:eastAsia="仿宋_GB2312" w:cs="仿宋"/>
          <w:lang w:val="en-US" w:eastAsia="zh-CN"/>
        </w:rPr>
        <w:t>6</w:t>
      </w:r>
      <w:r>
        <w:rPr>
          <w:rFonts w:hint="eastAsia" w:ascii="仿宋_GB2312" w:hAnsi="仿宋" w:eastAsia="仿宋_GB2312" w:cs="仿宋"/>
        </w:rPr>
        <w:t>月</w:t>
      </w:r>
      <w:r>
        <w:rPr>
          <w:rFonts w:hint="eastAsia" w:ascii="仿宋_GB2312" w:hAnsi="仿宋" w:eastAsia="仿宋_GB2312" w:cs="仿宋"/>
          <w:lang w:val="en-US" w:eastAsia="zh-CN"/>
        </w:rPr>
        <w:t>22</w:t>
      </w:r>
      <w:r>
        <w:rPr>
          <w:rFonts w:hint="eastAsia" w:ascii="仿宋_GB2312" w:hAnsi="仿宋" w:eastAsia="仿宋_GB2312" w:cs="仿宋"/>
        </w:rPr>
        <w:t>日</w:t>
      </w:r>
    </w:p>
    <w:p w14:paraId="34731C37">
      <w:pPr>
        <w:spacing w:line="240" w:lineRule="exact"/>
        <w:rPr>
          <w:rFonts w:hint="eastAsia" w:eastAsia="仿宋_GB2312"/>
          <w:sz w:val="24"/>
        </w:rPr>
      </w:pPr>
    </w:p>
    <w:p w14:paraId="55CC819D">
      <w:pPr>
        <w:spacing w:line="240" w:lineRule="exact"/>
        <w:rPr>
          <w:rFonts w:hint="eastAsia" w:eastAsia="仿宋_GB2312"/>
          <w:sz w:val="24"/>
        </w:rPr>
      </w:pPr>
    </w:p>
    <w:p w14:paraId="3F12E4F5">
      <w:pPr>
        <w:spacing w:line="240" w:lineRule="exact"/>
        <w:rPr>
          <w:rFonts w:hint="eastAsia" w:eastAsia="仿宋_GB2312"/>
          <w:sz w:val="24"/>
        </w:rPr>
      </w:pPr>
    </w:p>
    <w:p w14:paraId="61F6E2A0">
      <w:pPr>
        <w:spacing w:line="240" w:lineRule="exact"/>
        <w:rPr>
          <w:rFonts w:eastAsia="仿宋_GB2312"/>
          <w:sz w:val="24"/>
        </w:rPr>
      </w:pPr>
      <w:r>
        <w:rPr>
          <w:rFonts w:hint="eastAsia" w:eastAsia="仿宋_GB2312"/>
          <w:sz w:val="24"/>
        </w:rPr>
        <w:t xml:space="preserve"> </w:t>
      </w:r>
    </w:p>
    <w:p w14:paraId="767D7C6A">
      <w:pPr>
        <w:spacing w:line="600" w:lineRule="exact"/>
        <w:rPr>
          <w:rFonts w:hint="eastAsia" w:ascii="黑体" w:hAnsi="黑体" w:eastAsia="黑体"/>
          <w:sz w:val="32"/>
          <w:szCs w:val="32"/>
        </w:rPr>
      </w:pPr>
    </w:p>
    <w:p w14:paraId="09AFFFA6">
      <w:pPr>
        <w:spacing w:line="600" w:lineRule="exact"/>
        <w:rPr>
          <w:rFonts w:hint="eastAsia" w:ascii="黑体" w:hAnsi="黑体" w:eastAsia="黑体"/>
          <w:sz w:val="32"/>
          <w:szCs w:val="32"/>
        </w:rPr>
      </w:pPr>
    </w:p>
    <w:p w14:paraId="473CE8E1">
      <w:pPr>
        <w:spacing w:line="600" w:lineRule="exact"/>
        <w:rPr>
          <w:rFonts w:ascii="黑体" w:hAnsi="黑体" w:eastAsia="黑体"/>
          <w:sz w:val="32"/>
          <w:szCs w:val="32"/>
        </w:rPr>
      </w:pPr>
      <w:r>
        <w:rPr>
          <w:rFonts w:hint="eastAsia" w:ascii="黑体" w:hAnsi="黑体" w:eastAsia="黑体"/>
          <w:sz w:val="32"/>
          <w:szCs w:val="32"/>
        </w:rPr>
        <w:t>附件2-3</w:t>
      </w:r>
    </w:p>
    <w:p w14:paraId="199786D1">
      <w:pPr>
        <w:spacing w:line="600" w:lineRule="exact"/>
        <w:rPr>
          <w:rFonts w:eastAsia="黑体"/>
          <w:kern w:val="0"/>
          <w:sz w:val="32"/>
          <w:szCs w:val="32"/>
        </w:rPr>
      </w:pPr>
      <w:r>
        <w:rPr>
          <w:rFonts w:eastAsia="黑体"/>
          <w:kern w:val="0"/>
          <w:sz w:val="32"/>
          <w:szCs w:val="32"/>
        </w:rPr>
        <w:t xml:space="preserve">  </w:t>
      </w:r>
    </w:p>
    <w:p w14:paraId="4A1D62DB">
      <w:pPr>
        <w:spacing w:line="600" w:lineRule="exact"/>
        <w:rPr>
          <w:rFonts w:eastAsia="黑体"/>
          <w:kern w:val="0"/>
          <w:sz w:val="32"/>
          <w:szCs w:val="32"/>
        </w:rPr>
      </w:pPr>
    </w:p>
    <w:p w14:paraId="74E4F846">
      <w:pPr>
        <w:spacing w:line="700" w:lineRule="exact"/>
        <w:jc w:val="center"/>
        <w:rPr>
          <w:rFonts w:ascii="方正小标宋简体" w:eastAsia="方正小标宋简体"/>
          <w:sz w:val="48"/>
          <w:szCs w:val="48"/>
        </w:rPr>
      </w:pPr>
      <w:r>
        <w:rPr>
          <w:rFonts w:hint="eastAsia" w:ascii="方正小标宋简体" w:eastAsia="方正小标宋简体"/>
          <w:sz w:val="48"/>
          <w:szCs w:val="48"/>
          <w:lang w:eastAsia="zh-CN"/>
        </w:rPr>
        <w:t>吉首市人大</w:t>
      </w:r>
      <w:r>
        <w:rPr>
          <w:rFonts w:hint="eastAsia" w:ascii="方正小标宋简体" w:eastAsia="方正小标宋简体"/>
          <w:sz w:val="48"/>
          <w:szCs w:val="48"/>
          <w:lang w:val="en-US" w:eastAsia="zh-CN"/>
        </w:rPr>
        <w:t>2021</w:t>
      </w:r>
      <w:r>
        <w:rPr>
          <w:rFonts w:hint="eastAsia" w:ascii="方正小标宋简体" w:eastAsia="方正小标宋简体"/>
          <w:sz w:val="48"/>
          <w:szCs w:val="48"/>
        </w:rPr>
        <w:t>年度</w:t>
      </w:r>
      <w:r>
        <w:rPr>
          <w:rFonts w:hint="eastAsia" w:ascii="方正小标宋简体" w:eastAsia="方正小标宋简体"/>
          <w:sz w:val="48"/>
          <w:szCs w:val="48"/>
          <w:lang w:eastAsia="zh-CN"/>
        </w:rPr>
        <w:t>人大会议费</w:t>
      </w:r>
      <w:r>
        <w:rPr>
          <w:rFonts w:hint="eastAsia" w:ascii="方正小标宋简体" w:eastAsia="方正小标宋简体"/>
          <w:sz w:val="48"/>
          <w:szCs w:val="48"/>
        </w:rPr>
        <w:t>项目支出绩效自评报告</w:t>
      </w:r>
    </w:p>
    <w:p w14:paraId="37A58BCE">
      <w:pPr>
        <w:jc w:val="center"/>
        <w:rPr>
          <w:rFonts w:eastAsia="黑体"/>
          <w:sz w:val="32"/>
          <w:szCs w:val="32"/>
        </w:rPr>
      </w:pPr>
      <w:r>
        <w:rPr>
          <w:rFonts w:eastAsia="黑体"/>
          <w:sz w:val="32"/>
          <w:szCs w:val="32"/>
        </w:rPr>
        <w:t xml:space="preserve"> </w:t>
      </w:r>
    </w:p>
    <w:p w14:paraId="458542BB">
      <w:pPr>
        <w:jc w:val="center"/>
        <w:rPr>
          <w:rFonts w:eastAsia="黑体"/>
          <w:sz w:val="32"/>
          <w:szCs w:val="32"/>
        </w:rPr>
      </w:pPr>
    </w:p>
    <w:p w14:paraId="7909F1BF">
      <w:pPr>
        <w:jc w:val="center"/>
        <w:rPr>
          <w:rFonts w:eastAsia="黑体"/>
          <w:sz w:val="32"/>
          <w:szCs w:val="32"/>
        </w:rPr>
      </w:pPr>
      <w:r>
        <w:rPr>
          <w:rFonts w:eastAsia="黑体"/>
          <w:sz w:val="32"/>
          <w:szCs w:val="32"/>
        </w:rPr>
        <w:t xml:space="preserve"> </w:t>
      </w:r>
    </w:p>
    <w:p w14:paraId="54B8ACE5">
      <w:pPr>
        <w:spacing w:line="700" w:lineRule="exact"/>
        <w:ind w:firstLine="614" w:firstLineChars="192"/>
        <w:rPr>
          <w:rFonts w:ascii="楷体_GB2312" w:eastAsia="楷体_GB2312"/>
          <w:sz w:val="32"/>
          <w:szCs w:val="32"/>
          <w:u w:val="single"/>
        </w:rPr>
      </w:pPr>
      <w:r>
        <w:rPr>
          <w:rFonts w:hint="eastAsia" w:ascii="楷体_GB2312" w:eastAsia="楷体_GB2312"/>
          <w:sz w:val="32"/>
          <w:szCs w:val="32"/>
        </w:rPr>
        <w:t>项目名称</w:t>
      </w:r>
      <w:r>
        <w:rPr>
          <w:rFonts w:hint="eastAsia" w:ascii="楷体_GB2312" w:eastAsia="楷体_GB2312"/>
          <w:sz w:val="32"/>
          <w:szCs w:val="32"/>
          <w:lang w:eastAsia="zh-CN"/>
        </w:rPr>
        <w:t>：</w:t>
      </w:r>
      <w:r>
        <w:rPr>
          <w:rFonts w:hint="eastAsia" w:ascii="楷体_GB2312" w:eastAsia="楷体_GB2312"/>
          <w:sz w:val="32"/>
          <w:szCs w:val="32"/>
          <w:u w:val="single"/>
          <w:lang w:eastAsia="zh-CN"/>
        </w:rPr>
        <w:t>人大会议费</w:t>
      </w:r>
      <w:r>
        <w:rPr>
          <w:rFonts w:hint="eastAsia" w:ascii="楷体_GB2312" w:eastAsia="楷体_GB2312"/>
          <w:sz w:val="32"/>
          <w:szCs w:val="32"/>
          <w:u w:val="single"/>
        </w:rPr>
        <w:t xml:space="preserve">                           </w:t>
      </w:r>
    </w:p>
    <w:p w14:paraId="332023B5">
      <w:pPr>
        <w:spacing w:line="700" w:lineRule="exact"/>
        <w:ind w:firstLine="614" w:firstLineChars="192"/>
        <w:rPr>
          <w:rFonts w:ascii="楷体_GB2312" w:eastAsia="楷体_GB2312"/>
          <w:sz w:val="32"/>
          <w:szCs w:val="32"/>
        </w:rPr>
      </w:pPr>
      <w:r>
        <w:rPr>
          <w:rFonts w:hint="eastAsia" w:ascii="楷体_GB2312" w:eastAsia="楷体_GB2312"/>
          <w:sz w:val="32"/>
          <w:szCs w:val="32"/>
        </w:rPr>
        <w:t xml:space="preserve">支出功能科目编码 </w:t>
      </w:r>
      <w:r>
        <w:rPr>
          <w:rFonts w:hint="eastAsia" w:ascii="楷体_GB2312" w:eastAsia="楷体_GB2312"/>
          <w:sz w:val="32"/>
          <w:szCs w:val="32"/>
          <w:lang w:eastAsia="zh-CN"/>
        </w:rPr>
        <w:t>：</w:t>
      </w:r>
      <w:r>
        <w:rPr>
          <w:rFonts w:hint="eastAsia" w:ascii="楷体_GB2312" w:eastAsia="楷体_GB2312"/>
          <w:sz w:val="32"/>
          <w:szCs w:val="32"/>
          <w:u w:val="single"/>
        </w:rPr>
        <w:t xml:space="preserve">  </w:t>
      </w:r>
      <w:r>
        <w:rPr>
          <w:rFonts w:hint="eastAsia" w:ascii="楷体_GB2312" w:eastAsia="楷体_GB2312"/>
          <w:sz w:val="32"/>
          <w:szCs w:val="32"/>
          <w:u w:val="single"/>
          <w:lang w:val="en-US" w:eastAsia="zh-CN"/>
        </w:rPr>
        <w:t>2010104</w:t>
      </w:r>
      <w:r>
        <w:rPr>
          <w:rFonts w:hint="eastAsia" w:ascii="楷体_GB2312" w:eastAsia="楷体_GB2312"/>
          <w:sz w:val="32"/>
          <w:szCs w:val="32"/>
          <w:u w:val="single"/>
        </w:rPr>
        <w:t xml:space="preserve">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rPr>
        <w:t xml:space="preserve">           </w:t>
      </w:r>
    </w:p>
    <w:p w14:paraId="39E2E193">
      <w:pPr>
        <w:spacing w:line="700" w:lineRule="exact"/>
        <w:ind w:firstLine="614" w:firstLineChars="192"/>
        <w:rPr>
          <w:rFonts w:ascii="楷体_GB2312" w:eastAsia="楷体_GB2312"/>
          <w:sz w:val="32"/>
          <w:szCs w:val="32"/>
        </w:rPr>
      </w:pPr>
      <w:r>
        <w:rPr>
          <w:rFonts w:hint="eastAsia" w:ascii="楷体_GB2312" w:eastAsia="楷体_GB2312"/>
          <w:sz w:val="32"/>
          <w:szCs w:val="32"/>
        </w:rPr>
        <w:t>项目实施单位</w:t>
      </w:r>
      <w:r>
        <w:rPr>
          <w:rFonts w:hint="eastAsia" w:ascii="楷体_GB2312" w:eastAsia="楷体_GB2312"/>
          <w:sz w:val="32"/>
          <w:szCs w:val="32"/>
          <w:lang w:eastAsia="zh-CN"/>
        </w:rPr>
        <w:t>：</w:t>
      </w:r>
      <w:r>
        <w:rPr>
          <w:rFonts w:hint="eastAsia" w:ascii="仿宋" w:hAnsi="仿宋" w:eastAsia="仿宋" w:cs="方正小标宋简体"/>
          <w:color w:val="000000"/>
          <w:kern w:val="0"/>
          <w:sz w:val="32"/>
          <w:szCs w:val="32"/>
          <w:u w:val="single"/>
        </w:rPr>
        <w:t>吉首市人民代表大会常务委员会办公室</w:t>
      </w:r>
    </w:p>
    <w:p w14:paraId="678CB955">
      <w:pPr>
        <w:spacing w:line="700" w:lineRule="exact"/>
        <w:ind w:firstLine="614" w:firstLineChars="192"/>
        <w:rPr>
          <w:rFonts w:hint="eastAsia" w:ascii="楷体_GB2312" w:eastAsia="楷体_GB2312"/>
          <w:sz w:val="32"/>
          <w:szCs w:val="32"/>
          <w:u w:val="single"/>
          <w:lang w:val="en-US" w:eastAsia="zh-CN"/>
        </w:rPr>
      </w:pPr>
      <w:r>
        <w:rPr>
          <w:rFonts w:hint="eastAsia" w:ascii="楷体_GB2312" w:eastAsia="楷体_GB2312"/>
          <w:sz w:val="32"/>
          <w:szCs w:val="32"/>
        </w:rPr>
        <w:t>主管部门</w:t>
      </w:r>
      <w:r>
        <w:rPr>
          <w:rFonts w:hint="eastAsia" w:ascii="楷体_GB2312" w:eastAsia="楷体_GB2312"/>
          <w:sz w:val="32"/>
          <w:szCs w:val="32"/>
          <w:lang w:eastAsia="zh-CN"/>
        </w:rPr>
        <w:t>：</w:t>
      </w:r>
      <w:r>
        <w:rPr>
          <w:rFonts w:hint="eastAsia" w:ascii="仿宋" w:hAnsi="仿宋" w:eastAsia="仿宋" w:cs="方正小标宋简体"/>
          <w:color w:val="000000"/>
          <w:kern w:val="0"/>
          <w:sz w:val="32"/>
          <w:szCs w:val="32"/>
          <w:u w:val="single"/>
        </w:rPr>
        <w:t>吉首市人民代表大会常务委员会</w:t>
      </w:r>
      <w:r>
        <w:rPr>
          <w:rFonts w:hint="eastAsia" w:ascii="楷体_GB2312" w:eastAsia="楷体_GB2312"/>
          <w:sz w:val="32"/>
          <w:szCs w:val="32"/>
          <w:u w:val="single"/>
        </w:rPr>
        <w:t xml:space="preserve">         </w:t>
      </w:r>
      <w:r>
        <w:rPr>
          <w:rFonts w:hint="eastAsia" w:ascii="楷体_GB2312" w:eastAsia="楷体_GB2312"/>
          <w:sz w:val="32"/>
          <w:szCs w:val="32"/>
          <w:u w:val="single"/>
          <w:lang w:val="en-US" w:eastAsia="zh-CN"/>
        </w:rPr>
        <w:t xml:space="preserve"> </w:t>
      </w:r>
    </w:p>
    <w:p w14:paraId="1153A886">
      <w:pPr>
        <w:spacing w:line="600" w:lineRule="exact"/>
        <w:ind w:firstLine="640" w:firstLineChars="200"/>
        <w:rPr>
          <w:rFonts w:eastAsia="仿宋_GB2312"/>
          <w:sz w:val="32"/>
          <w:szCs w:val="32"/>
          <w:u w:val="single"/>
        </w:rPr>
      </w:pPr>
      <w:r>
        <w:rPr>
          <w:rFonts w:hint="eastAsia" w:ascii="仿宋_GB2312" w:eastAsia="仿宋_GB2312"/>
          <w:sz w:val="32"/>
          <w:szCs w:val="32"/>
        </w:rPr>
        <w:t>评价方式：</w:t>
      </w:r>
      <w:r>
        <w:rPr>
          <w:rFonts w:hint="eastAsia" w:ascii="仿宋_GB2312" w:eastAsia="仿宋_GB2312"/>
          <w:sz w:val="32"/>
          <w:szCs w:val="32"/>
          <w:u w:val="single"/>
        </w:rPr>
        <w:t>单位绩效自评</w:t>
      </w:r>
      <w:r>
        <w:rPr>
          <w:rFonts w:hint="eastAsia" w:ascii="仿宋_GB2312" w:eastAsia="仿宋_GB2312"/>
          <w:sz w:val="32"/>
          <w:szCs w:val="32"/>
          <w:u w:val="single"/>
          <w:lang w:val="en-US" w:eastAsia="zh-CN"/>
        </w:rPr>
        <w:t xml:space="preserve"> </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p>
    <w:p w14:paraId="28A8B555">
      <w:pPr>
        <w:widowControl/>
        <w:spacing w:line="600" w:lineRule="exact"/>
        <w:ind w:firstLine="640" w:firstLineChars="200"/>
        <w:jc w:val="left"/>
        <w:rPr>
          <w:rFonts w:eastAsia="仿宋_GB2312" w:cs="Arial"/>
          <w:kern w:val="0"/>
          <w:sz w:val="28"/>
          <w:szCs w:val="28"/>
        </w:rPr>
      </w:pPr>
      <w:r>
        <w:rPr>
          <w:rFonts w:hint="eastAsia" w:ascii="仿宋_GB2312" w:eastAsia="仿宋_GB2312"/>
          <w:sz w:val="32"/>
          <w:szCs w:val="32"/>
        </w:rPr>
        <w:t>评价机构：</w:t>
      </w:r>
      <w:r>
        <w:rPr>
          <w:rFonts w:hint="eastAsia" w:ascii="仿宋_GB2312" w:eastAsia="仿宋_GB2312"/>
          <w:sz w:val="32"/>
          <w:szCs w:val="32"/>
          <w:u w:val="single"/>
        </w:rPr>
        <w:t>评价组</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p>
    <w:p w14:paraId="01F7221A">
      <w:pPr>
        <w:widowControl/>
        <w:ind w:firstLine="420" w:firstLineChars="150"/>
        <w:jc w:val="left"/>
        <w:rPr>
          <w:rFonts w:eastAsia="黑体"/>
          <w:sz w:val="32"/>
          <w:szCs w:val="32"/>
        </w:rPr>
      </w:pPr>
      <w:r>
        <w:rPr>
          <w:rFonts w:hint="eastAsia" w:eastAsia="仿宋_GB2312" w:cs="Arial"/>
          <w:kern w:val="0"/>
          <w:sz w:val="28"/>
          <w:szCs w:val="28"/>
        </w:rPr>
        <w:t xml:space="preserve"> </w:t>
      </w:r>
      <w:r>
        <w:rPr>
          <w:rFonts w:eastAsia="黑体"/>
          <w:sz w:val="32"/>
          <w:szCs w:val="32"/>
        </w:rPr>
        <w:t xml:space="preserve">  </w:t>
      </w:r>
    </w:p>
    <w:p w14:paraId="72D50DE1">
      <w:pPr>
        <w:jc w:val="center"/>
        <w:rPr>
          <w:rFonts w:eastAsia="黑体"/>
          <w:sz w:val="32"/>
          <w:szCs w:val="32"/>
        </w:rPr>
      </w:pPr>
      <w:r>
        <w:rPr>
          <w:rFonts w:eastAsia="黑体"/>
          <w:sz w:val="32"/>
          <w:szCs w:val="32"/>
        </w:rPr>
        <w:t xml:space="preserve"> </w:t>
      </w:r>
    </w:p>
    <w:p w14:paraId="521A8FDC">
      <w:pPr>
        <w:ind w:firstLine="2560" w:firstLineChars="800"/>
        <w:rPr>
          <w:rFonts w:ascii="楷体_GB2312" w:hAnsi="楷体" w:eastAsia="楷体_GB2312"/>
          <w:sz w:val="32"/>
          <w:szCs w:val="32"/>
        </w:rPr>
      </w:pPr>
      <w:r>
        <w:rPr>
          <w:rFonts w:hint="eastAsia" w:ascii="楷体_GB2312" w:hAnsi="楷体" w:eastAsia="楷体_GB2312"/>
          <w:sz w:val="32"/>
          <w:szCs w:val="32"/>
        </w:rPr>
        <w:t>单位名称（盖章）：</w:t>
      </w:r>
    </w:p>
    <w:p w14:paraId="4989A81B">
      <w:pPr>
        <w:jc w:val="center"/>
        <w:rPr>
          <w:rFonts w:eastAsia="黑体"/>
          <w:sz w:val="36"/>
          <w:szCs w:val="36"/>
        </w:rPr>
      </w:pPr>
      <w:r>
        <w:rPr>
          <w:rFonts w:eastAsia="黑体"/>
          <w:sz w:val="36"/>
          <w:szCs w:val="36"/>
        </w:rPr>
        <w:t xml:space="preserve"> </w:t>
      </w:r>
    </w:p>
    <w:p w14:paraId="6692BDD2">
      <w:pPr>
        <w:spacing w:line="600" w:lineRule="exact"/>
        <w:jc w:val="center"/>
        <w:rPr>
          <w:rFonts w:ascii="仿宋_GB2312" w:eastAsia="仿宋_GB2312"/>
          <w:kern w:val="0"/>
          <w:sz w:val="32"/>
          <w:szCs w:val="32"/>
        </w:rPr>
      </w:pPr>
      <w:r>
        <w:rPr>
          <w:rFonts w:hint="eastAsia" w:ascii="仿宋_GB2312" w:eastAsia="仿宋_GB2312"/>
          <w:kern w:val="0"/>
          <w:sz w:val="32"/>
          <w:szCs w:val="32"/>
        </w:rPr>
        <w:t>报告时间：</w:t>
      </w:r>
      <w:r>
        <w:rPr>
          <w:rFonts w:hint="eastAsia" w:ascii="仿宋_GB2312" w:eastAsia="仿宋_GB2312"/>
          <w:kern w:val="0"/>
          <w:sz w:val="32"/>
          <w:szCs w:val="32"/>
          <w:u w:val="single"/>
        </w:rPr>
        <w:t xml:space="preserve"> </w:t>
      </w:r>
      <w:r>
        <w:rPr>
          <w:rFonts w:hint="eastAsia" w:ascii="仿宋_GB2312" w:eastAsia="仿宋_GB2312"/>
          <w:kern w:val="0"/>
          <w:sz w:val="32"/>
          <w:szCs w:val="32"/>
          <w:u w:val="single"/>
          <w:lang w:val="en-US" w:eastAsia="zh-CN"/>
        </w:rPr>
        <w:t>2022</w:t>
      </w:r>
      <w:r>
        <w:rPr>
          <w:rFonts w:hint="eastAsia" w:ascii="仿宋_GB2312" w:eastAsia="仿宋_GB2312"/>
          <w:kern w:val="0"/>
          <w:sz w:val="32"/>
          <w:szCs w:val="32"/>
          <w:u w:val="single"/>
        </w:rPr>
        <w:t xml:space="preserve"> </w:t>
      </w:r>
      <w:r>
        <w:rPr>
          <w:rFonts w:hint="eastAsia" w:ascii="仿宋_GB2312" w:eastAsia="仿宋_GB2312"/>
          <w:kern w:val="0"/>
          <w:sz w:val="32"/>
          <w:szCs w:val="32"/>
        </w:rPr>
        <w:t>年</w:t>
      </w:r>
      <w:r>
        <w:rPr>
          <w:rFonts w:hint="eastAsia" w:ascii="仿宋_GB2312" w:eastAsia="仿宋_GB2312"/>
          <w:kern w:val="0"/>
          <w:sz w:val="32"/>
          <w:szCs w:val="32"/>
          <w:u w:val="single"/>
        </w:rPr>
        <w:t xml:space="preserve">  </w:t>
      </w:r>
      <w:r>
        <w:rPr>
          <w:rFonts w:hint="eastAsia" w:ascii="仿宋_GB2312" w:eastAsia="仿宋_GB2312"/>
          <w:kern w:val="0"/>
          <w:sz w:val="32"/>
          <w:szCs w:val="32"/>
          <w:u w:val="single"/>
          <w:lang w:val="en-US" w:eastAsia="zh-CN"/>
        </w:rPr>
        <w:t>6</w:t>
      </w:r>
      <w:r>
        <w:rPr>
          <w:rFonts w:hint="eastAsia" w:ascii="仿宋_GB2312" w:eastAsia="仿宋_GB2312"/>
          <w:kern w:val="0"/>
          <w:sz w:val="32"/>
          <w:szCs w:val="32"/>
          <w:u w:val="single"/>
        </w:rPr>
        <w:t xml:space="preserve"> </w:t>
      </w:r>
      <w:r>
        <w:rPr>
          <w:rFonts w:hint="eastAsia" w:ascii="仿宋_GB2312" w:eastAsia="仿宋_GB2312"/>
          <w:kern w:val="0"/>
          <w:sz w:val="32"/>
          <w:szCs w:val="32"/>
        </w:rPr>
        <w:t>月</w:t>
      </w:r>
    </w:p>
    <w:p w14:paraId="101D085A">
      <w:pPr>
        <w:spacing w:line="240" w:lineRule="exact"/>
        <w:jc w:val="center"/>
        <w:rPr>
          <w:rFonts w:hint="eastAsia" w:ascii="楷体_GB2312" w:eastAsia="楷体_GB2312"/>
          <w:sz w:val="32"/>
          <w:szCs w:val="32"/>
        </w:rPr>
      </w:pPr>
    </w:p>
    <w:p w14:paraId="1CF24C5D">
      <w:pPr>
        <w:spacing w:line="240" w:lineRule="exact"/>
        <w:jc w:val="center"/>
        <w:rPr>
          <w:rFonts w:hint="eastAsia" w:ascii="楷体_GB2312" w:eastAsia="楷体_GB2312"/>
          <w:sz w:val="32"/>
          <w:szCs w:val="32"/>
        </w:rPr>
      </w:pPr>
    </w:p>
    <w:p w14:paraId="4907C0A2">
      <w:pPr>
        <w:spacing w:line="240" w:lineRule="exact"/>
        <w:jc w:val="center"/>
        <w:rPr>
          <w:rFonts w:hint="eastAsia" w:ascii="楷体_GB2312" w:eastAsia="楷体_GB2312"/>
          <w:sz w:val="32"/>
          <w:szCs w:val="32"/>
        </w:rPr>
      </w:pPr>
    </w:p>
    <w:p w14:paraId="72EDFC32">
      <w:pPr>
        <w:spacing w:line="240" w:lineRule="exact"/>
        <w:jc w:val="center"/>
        <w:rPr>
          <w:rFonts w:hint="eastAsia" w:ascii="楷体_GB2312" w:eastAsia="楷体_GB2312"/>
          <w:sz w:val="32"/>
          <w:szCs w:val="32"/>
        </w:rPr>
      </w:pPr>
    </w:p>
    <w:p w14:paraId="568CA4C6">
      <w:pPr>
        <w:spacing w:line="240" w:lineRule="exact"/>
        <w:jc w:val="center"/>
        <w:rPr>
          <w:rFonts w:ascii="楷体_GB2312" w:eastAsia="楷体_GB2312"/>
          <w:sz w:val="32"/>
          <w:szCs w:val="32"/>
        </w:rPr>
      </w:pPr>
      <w:r>
        <w:rPr>
          <w:rFonts w:hint="eastAsia" w:ascii="楷体_GB2312" w:eastAsia="楷体_GB2312"/>
          <w:sz w:val="32"/>
          <w:szCs w:val="32"/>
        </w:rPr>
        <w:t xml:space="preserve"> </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24"/>
        <w:gridCol w:w="332"/>
        <w:gridCol w:w="84"/>
        <w:gridCol w:w="2070"/>
        <w:gridCol w:w="22"/>
        <w:gridCol w:w="16"/>
        <w:gridCol w:w="1500"/>
        <w:gridCol w:w="268"/>
        <w:gridCol w:w="649"/>
        <w:gridCol w:w="1955"/>
      </w:tblGrid>
      <w:tr w14:paraId="42B3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40" w:type="dxa"/>
            <w:gridSpan w:val="4"/>
            <w:vAlign w:val="center"/>
          </w:tcPr>
          <w:p w14:paraId="34BC2BB8">
            <w:pPr>
              <w:spacing w:line="320" w:lineRule="exact"/>
              <w:jc w:val="center"/>
              <w:rPr>
                <w:rFonts w:eastAsia="楷体_GB2312"/>
                <w:sz w:val="24"/>
              </w:rPr>
            </w:pPr>
            <w:r>
              <w:rPr>
                <w:rFonts w:hint="eastAsia" w:ascii="楷体_GB2312" w:eastAsia="楷体_GB2312"/>
                <w:sz w:val="24"/>
              </w:rPr>
              <w:t>项目负责人</w:t>
            </w:r>
          </w:p>
        </w:tc>
        <w:tc>
          <w:tcPr>
            <w:tcW w:w="2092" w:type="dxa"/>
            <w:gridSpan w:val="2"/>
            <w:vAlign w:val="center"/>
          </w:tcPr>
          <w:p w14:paraId="4091672F">
            <w:pPr>
              <w:spacing w:line="320" w:lineRule="exact"/>
              <w:jc w:val="center"/>
              <w:rPr>
                <w:rFonts w:hint="eastAsia" w:eastAsia="楷体_GB2312"/>
                <w:sz w:val="24"/>
                <w:lang w:eastAsia="zh-CN"/>
              </w:rPr>
            </w:pPr>
            <w:r>
              <w:rPr>
                <w:rFonts w:hint="eastAsia" w:eastAsia="楷体_GB2312"/>
                <w:sz w:val="24"/>
                <w:lang w:eastAsia="zh-CN"/>
              </w:rPr>
              <w:t>符启银</w:t>
            </w:r>
          </w:p>
        </w:tc>
        <w:tc>
          <w:tcPr>
            <w:tcW w:w="1516" w:type="dxa"/>
            <w:gridSpan w:val="2"/>
            <w:vAlign w:val="center"/>
          </w:tcPr>
          <w:p w14:paraId="38D01F49">
            <w:pPr>
              <w:spacing w:line="320" w:lineRule="exact"/>
              <w:jc w:val="center"/>
              <w:rPr>
                <w:rFonts w:eastAsia="楷体_GB2312"/>
                <w:sz w:val="24"/>
              </w:rPr>
            </w:pPr>
            <w:r>
              <w:rPr>
                <w:rFonts w:hint="eastAsia" w:ascii="楷体_GB2312" w:eastAsia="楷体_GB2312"/>
                <w:sz w:val="24"/>
              </w:rPr>
              <w:t>联系电话</w:t>
            </w:r>
          </w:p>
        </w:tc>
        <w:tc>
          <w:tcPr>
            <w:tcW w:w="2872" w:type="dxa"/>
            <w:gridSpan w:val="3"/>
            <w:vAlign w:val="center"/>
          </w:tcPr>
          <w:p w14:paraId="6DA614D7">
            <w:pPr>
              <w:spacing w:line="320" w:lineRule="exact"/>
              <w:jc w:val="center"/>
              <w:rPr>
                <w:rFonts w:eastAsia="楷体_GB2312"/>
                <w:sz w:val="24"/>
              </w:rPr>
            </w:pPr>
            <w:r>
              <w:rPr>
                <w:rFonts w:hint="eastAsia" w:ascii="楷体_GB2312" w:hAnsi="仿宋" w:eastAsia="楷体_GB2312" w:cs="宋体"/>
                <w:sz w:val="24"/>
                <w:szCs w:val="24"/>
              </w:rPr>
              <w:t>8520002</w:t>
            </w:r>
          </w:p>
        </w:tc>
      </w:tr>
      <w:tr w14:paraId="6620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40" w:type="dxa"/>
            <w:gridSpan w:val="4"/>
            <w:vAlign w:val="center"/>
          </w:tcPr>
          <w:p w14:paraId="409BD0D7">
            <w:pPr>
              <w:spacing w:line="320" w:lineRule="exact"/>
              <w:jc w:val="center"/>
              <w:rPr>
                <w:rFonts w:eastAsia="楷体_GB2312"/>
                <w:sz w:val="24"/>
              </w:rPr>
            </w:pPr>
            <w:r>
              <w:rPr>
                <w:rFonts w:hint="eastAsia" w:ascii="楷体_GB2312" w:eastAsia="楷体_GB2312"/>
                <w:sz w:val="24"/>
              </w:rPr>
              <w:t>地      址</w:t>
            </w:r>
          </w:p>
        </w:tc>
        <w:tc>
          <w:tcPr>
            <w:tcW w:w="3608" w:type="dxa"/>
            <w:gridSpan w:val="4"/>
            <w:vAlign w:val="center"/>
          </w:tcPr>
          <w:p w14:paraId="6703BC17">
            <w:pPr>
              <w:spacing w:line="320" w:lineRule="exact"/>
              <w:jc w:val="center"/>
              <w:rPr>
                <w:rFonts w:eastAsia="楷体_GB2312"/>
                <w:sz w:val="24"/>
              </w:rPr>
            </w:pPr>
            <w:r>
              <w:rPr>
                <w:rFonts w:hint="eastAsia" w:ascii="楷体_GB2312" w:eastAsia="楷体_GB2312"/>
                <w:sz w:val="24"/>
                <w:szCs w:val="24"/>
              </w:rPr>
              <w:t>吉首市政府A栋7楼</w:t>
            </w:r>
          </w:p>
        </w:tc>
        <w:tc>
          <w:tcPr>
            <w:tcW w:w="917" w:type="dxa"/>
            <w:gridSpan w:val="2"/>
            <w:vAlign w:val="center"/>
          </w:tcPr>
          <w:p w14:paraId="2CDEFA07">
            <w:pPr>
              <w:spacing w:line="320" w:lineRule="exact"/>
              <w:jc w:val="center"/>
              <w:rPr>
                <w:rFonts w:eastAsia="楷体_GB2312"/>
                <w:sz w:val="24"/>
              </w:rPr>
            </w:pPr>
            <w:r>
              <w:rPr>
                <w:rFonts w:hint="eastAsia" w:ascii="楷体_GB2312" w:eastAsia="楷体_GB2312"/>
                <w:sz w:val="24"/>
              </w:rPr>
              <w:t>邮编</w:t>
            </w:r>
          </w:p>
        </w:tc>
        <w:tc>
          <w:tcPr>
            <w:tcW w:w="1955" w:type="dxa"/>
            <w:vAlign w:val="center"/>
          </w:tcPr>
          <w:p w14:paraId="5D4989CD">
            <w:pPr>
              <w:spacing w:line="320" w:lineRule="exact"/>
              <w:jc w:val="center"/>
              <w:rPr>
                <w:rFonts w:hint="default" w:eastAsia="楷体_GB2312"/>
                <w:sz w:val="24"/>
                <w:lang w:val="en-US" w:eastAsia="zh-CN"/>
              </w:rPr>
            </w:pPr>
            <w:r>
              <w:rPr>
                <w:rFonts w:hint="eastAsia" w:eastAsia="楷体_GB2312"/>
                <w:sz w:val="24"/>
                <w:lang w:val="en-US" w:eastAsia="zh-CN"/>
              </w:rPr>
              <w:t>416000</w:t>
            </w:r>
          </w:p>
        </w:tc>
      </w:tr>
      <w:tr w14:paraId="4D21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40" w:type="dxa"/>
            <w:gridSpan w:val="4"/>
            <w:vAlign w:val="center"/>
          </w:tcPr>
          <w:p w14:paraId="502A8DCC">
            <w:pPr>
              <w:spacing w:line="320" w:lineRule="exact"/>
              <w:jc w:val="center"/>
              <w:rPr>
                <w:rFonts w:eastAsia="楷体_GB2312"/>
                <w:sz w:val="24"/>
              </w:rPr>
            </w:pPr>
            <w:r>
              <w:rPr>
                <w:rFonts w:hint="eastAsia" w:ascii="楷体_GB2312" w:eastAsia="楷体_GB2312"/>
                <w:sz w:val="24"/>
              </w:rPr>
              <w:t>项目起止时间</w:t>
            </w:r>
          </w:p>
        </w:tc>
        <w:tc>
          <w:tcPr>
            <w:tcW w:w="6480" w:type="dxa"/>
            <w:gridSpan w:val="7"/>
            <w:vAlign w:val="center"/>
          </w:tcPr>
          <w:p w14:paraId="63F2580D">
            <w:pPr>
              <w:spacing w:line="320" w:lineRule="exact"/>
              <w:rPr>
                <w:rFonts w:eastAsia="楷体_GB2312"/>
                <w:sz w:val="24"/>
              </w:rPr>
            </w:pPr>
            <w:r>
              <w:rPr>
                <w:rFonts w:hint="eastAsia" w:ascii="楷体_GB2312" w:eastAsia="楷体_GB2312"/>
                <w:sz w:val="24"/>
                <w:szCs w:val="24"/>
              </w:rPr>
              <w:t>202</w:t>
            </w:r>
            <w:r>
              <w:rPr>
                <w:rFonts w:hint="eastAsia" w:ascii="楷体_GB2312" w:eastAsia="楷体_GB2312"/>
                <w:sz w:val="24"/>
                <w:szCs w:val="24"/>
                <w:lang w:val="en-US" w:eastAsia="zh-CN"/>
              </w:rPr>
              <w:t>1</w:t>
            </w:r>
            <w:r>
              <w:rPr>
                <w:rFonts w:hint="eastAsia" w:ascii="楷体_GB2312" w:eastAsia="楷体_GB2312"/>
                <w:sz w:val="24"/>
                <w:szCs w:val="24"/>
              </w:rPr>
              <w:t>年1月1日～202</w:t>
            </w:r>
            <w:r>
              <w:rPr>
                <w:rFonts w:hint="eastAsia" w:ascii="楷体_GB2312" w:eastAsia="楷体_GB2312"/>
                <w:sz w:val="24"/>
                <w:szCs w:val="24"/>
                <w:lang w:val="en-US" w:eastAsia="zh-CN"/>
              </w:rPr>
              <w:t>1</w:t>
            </w:r>
            <w:r>
              <w:rPr>
                <w:rFonts w:hint="eastAsia" w:ascii="楷体_GB2312" w:eastAsia="楷体_GB2312"/>
                <w:sz w:val="24"/>
                <w:szCs w:val="24"/>
              </w:rPr>
              <w:t>年12月31日</w:t>
            </w:r>
          </w:p>
        </w:tc>
      </w:tr>
      <w:tr w14:paraId="398F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08481457">
            <w:pPr>
              <w:spacing w:line="320" w:lineRule="exact"/>
              <w:rPr>
                <w:rFonts w:eastAsia="楷体_GB2312"/>
              </w:rPr>
            </w:pPr>
            <w:r>
              <w:rPr>
                <w:rFonts w:hint="eastAsia" w:ascii="楷体_GB2312" w:eastAsia="楷体_GB2312"/>
                <w:sz w:val="24"/>
              </w:rPr>
              <w:t>计划投资额</w:t>
            </w:r>
            <w:r>
              <w:rPr>
                <w:rFonts w:hint="eastAsia" w:ascii="楷体_GB2312" w:eastAsia="楷体_GB2312"/>
              </w:rPr>
              <w:t>（万元）</w:t>
            </w:r>
          </w:p>
        </w:tc>
        <w:tc>
          <w:tcPr>
            <w:tcW w:w="2070" w:type="dxa"/>
            <w:vAlign w:val="center"/>
          </w:tcPr>
          <w:p w14:paraId="29E3BEE4">
            <w:pPr>
              <w:spacing w:line="320" w:lineRule="exact"/>
              <w:rPr>
                <w:rFonts w:hint="default" w:eastAsia="楷体_GB2312"/>
                <w:lang w:val="en-US" w:eastAsia="zh-CN"/>
              </w:rPr>
            </w:pPr>
            <w:r>
              <w:rPr>
                <w:rFonts w:hint="eastAsia" w:eastAsia="楷体_GB2312"/>
                <w:lang w:val="en-US" w:eastAsia="zh-CN"/>
              </w:rPr>
              <w:t>80万元</w:t>
            </w:r>
          </w:p>
        </w:tc>
        <w:tc>
          <w:tcPr>
            <w:tcW w:w="2455" w:type="dxa"/>
            <w:gridSpan w:val="5"/>
            <w:vAlign w:val="center"/>
          </w:tcPr>
          <w:p w14:paraId="4AEDB80E">
            <w:pPr>
              <w:spacing w:line="320" w:lineRule="exact"/>
              <w:rPr>
                <w:rFonts w:eastAsia="楷体_GB2312"/>
                <w:sz w:val="24"/>
              </w:rPr>
            </w:pPr>
            <w:r>
              <w:rPr>
                <w:rFonts w:hint="eastAsia" w:ascii="楷体_GB2312" w:eastAsia="楷体_GB2312"/>
                <w:sz w:val="24"/>
              </w:rPr>
              <w:t>实际到位资金</w:t>
            </w:r>
            <w:r>
              <w:rPr>
                <w:rFonts w:hint="eastAsia" w:ascii="楷体_GB2312" w:eastAsia="楷体_GB2312"/>
              </w:rPr>
              <w:t>（万元）</w:t>
            </w:r>
          </w:p>
        </w:tc>
        <w:tc>
          <w:tcPr>
            <w:tcW w:w="1955" w:type="dxa"/>
            <w:vAlign w:val="center"/>
          </w:tcPr>
          <w:p w14:paraId="7B737010">
            <w:pPr>
              <w:spacing w:line="320" w:lineRule="exact"/>
              <w:rPr>
                <w:rFonts w:hint="default" w:eastAsia="楷体_GB2312"/>
                <w:lang w:val="en-US" w:eastAsia="zh-CN"/>
              </w:rPr>
            </w:pPr>
            <w:r>
              <w:rPr>
                <w:rFonts w:hint="eastAsia" w:eastAsia="楷体_GB2312"/>
                <w:lang w:val="en-US" w:eastAsia="zh-CN"/>
              </w:rPr>
              <w:t>80万元</w:t>
            </w:r>
          </w:p>
        </w:tc>
      </w:tr>
      <w:tr w14:paraId="63E9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27537297">
            <w:pPr>
              <w:spacing w:line="320" w:lineRule="exact"/>
              <w:rPr>
                <w:rFonts w:eastAsia="楷体_GB2312"/>
                <w:sz w:val="24"/>
              </w:rPr>
            </w:pPr>
            <w:r>
              <w:rPr>
                <w:rFonts w:hint="eastAsia" w:ascii="楷体_GB2312" w:eastAsia="楷体_GB2312"/>
                <w:sz w:val="24"/>
              </w:rPr>
              <w:t>其中：中央财政</w:t>
            </w:r>
          </w:p>
        </w:tc>
        <w:tc>
          <w:tcPr>
            <w:tcW w:w="2070" w:type="dxa"/>
            <w:vAlign w:val="center"/>
          </w:tcPr>
          <w:p w14:paraId="28DB719E">
            <w:pPr>
              <w:spacing w:line="320" w:lineRule="exact"/>
              <w:rPr>
                <w:rFonts w:eastAsia="楷体_GB2312"/>
              </w:rPr>
            </w:pPr>
          </w:p>
        </w:tc>
        <w:tc>
          <w:tcPr>
            <w:tcW w:w="2455" w:type="dxa"/>
            <w:gridSpan w:val="5"/>
            <w:vAlign w:val="center"/>
          </w:tcPr>
          <w:p w14:paraId="7FE1B107">
            <w:pPr>
              <w:spacing w:line="320" w:lineRule="exact"/>
              <w:rPr>
                <w:rFonts w:eastAsia="楷体_GB2312"/>
                <w:sz w:val="24"/>
              </w:rPr>
            </w:pPr>
            <w:r>
              <w:rPr>
                <w:rFonts w:hint="eastAsia" w:ascii="楷体_GB2312" w:eastAsia="楷体_GB2312"/>
                <w:sz w:val="24"/>
              </w:rPr>
              <w:t>其中：中央财政</w:t>
            </w:r>
          </w:p>
        </w:tc>
        <w:tc>
          <w:tcPr>
            <w:tcW w:w="1955" w:type="dxa"/>
            <w:vAlign w:val="center"/>
          </w:tcPr>
          <w:p w14:paraId="27692060">
            <w:pPr>
              <w:spacing w:line="320" w:lineRule="exact"/>
              <w:rPr>
                <w:rFonts w:eastAsia="楷体_GB2312"/>
              </w:rPr>
            </w:pPr>
          </w:p>
        </w:tc>
      </w:tr>
      <w:tr w14:paraId="4752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59BA2D38">
            <w:pPr>
              <w:spacing w:line="320" w:lineRule="exact"/>
              <w:ind w:firstLine="760" w:firstLineChars="317"/>
              <w:rPr>
                <w:rFonts w:eastAsia="楷体_GB2312"/>
                <w:sz w:val="24"/>
              </w:rPr>
            </w:pPr>
            <w:r>
              <w:rPr>
                <w:rFonts w:hint="eastAsia" w:ascii="楷体_GB2312" w:eastAsia="楷体_GB2312"/>
                <w:sz w:val="24"/>
              </w:rPr>
              <w:t>省财政</w:t>
            </w:r>
          </w:p>
        </w:tc>
        <w:tc>
          <w:tcPr>
            <w:tcW w:w="2070" w:type="dxa"/>
            <w:vAlign w:val="center"/>
          </w:tcPr>
          <w:p w14:paraId="4C2BF959">
            <w:pPr>
              <w:spacing w:line="320" w:lineRule="exact"/>
              <w:rPr>
                <w:rFonts w:eastAsia="楷体_GB2312"/>
              </w:rPr>
            </w:pPr>
          </w:p>
        </w:tc>
        <w:tc>
          <w:tcPr>
            <w:tcW w:w="2455" w:type="dxa"/>
            <w:gridSpan w:val="5"/>
            <w:vAlign w:val="center"/>
          </w:tcPr>
          <w:p w14:paraId="69B9E37A">
            <w:pPr>
              <w:spacing w:line="320" w:lineRule="exact"/>
              <w:ind w:firstLine="760" w:firstLineChars="317"/>
              <w:rPr>
                <w:rFonts w:eastAsia="楷体_GB2312"/>
                <w:sz w:val="24"/>
              </w:rPr>
            </w:pPr>
            <w:r>
              <w:rPr>
                <w:rFonts w:hint="eastAsia" w:ascii="楷体_GB2312" w:eastAsia="楷体_GB2312"/>
                <w:sz w:val="24"/>
              </w:rPr>
              <w:t>省财政</w:t>
            </w:r>
          </w:p>
        </w:tc>
        <w:tc>
          <w:tcPr>
            <w:tcW w:w="1955" w:type="dxa"/>
            <w:vAlign w:val="center"/>
          </w:tcPr>
          <w:p w14:paraId="04D32B87">
            <w:pPr>
              <w:spacing w:line="320" w:lineRule="exact"/>
              <w:rPr>
                <w:rFonts w:eastAsia="楷体_GB2312"/>
              </w:rPr>
            </w:pPr>
          </w:p>
        </w:tc>
      </w:tr>
      <w:tr w14:paraId="47F4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204ABA43">
            <w:pPr>
              <w:spacing w:line="320" w:lineRule="exact"/>
              <w:ind w:firstLine="760" w:firstLineChars="317"/>
              <w:rPr>
                <w:rFonts w:eastAsia="楷体_GB2312"/>
                <w:sz w:val="24"/>
              </w:rPr>
            </w:pPr>
            <w:r>
              <w:rPr>
                <w:rFonts w:hint="eastAsia" w:ascii="楷体_GB2312" w:eastAsia="楷体_GB2312"/>
                <w:sz w:val="24"/>
              </w:rPr>
              <w:t>市财政</w:t>
            </w:r>
          </w:p>
        </w:tc>
        <w:tc>
          <w:tcPr>
            <w:tcW w:w="2070" w:type="dxa"/>
            <w:vAlign w:val="center"/>
          </w:tcPr>
          <w:p w14:paraId="5F115620">
            <w:pPr>
              <w:spacing w:line="320" w:lineRule="exact"/>
              <w:rPr>
                <w:rFonts w:hint="default" w:eastAsia="楷体_GB2312"/>
                <w:lang w:val="en-US" w:eastAsia="zh-CN"/>
              </w:rPr>
            </w:pPr>
            <w:r>
              <w:rPr>
                <w:rFonts w:hint="eastAsia" w:eastAsia="楷体_GB2312"/>
                <w:lang w:val="en-US" w:eastAsia="zh-CN"/>
              </w:rPr>
              <w:t>80万元</w:t>
            </w:r>
          </w:p>
        </w:tc>
        <w:tc>
          <w:tcPr>
            <w:tcW w:w="2455" w:type="dxa"/>
            <w:gridSpan w:val="5"/>
            <w:vAlign w:val="center"/>
          </w:tcPr>
          <w:p w14:paraId="178D9561">
            <w:pPr>
              <w:spacing w:line="320" w:lineRule="exact"/>
              <w:ind w:firstLine="760" w:firstLineChars="317"/>
              <w:rPr>
                <w:rFonts w:eastAsia="楷体_GB2312"/>
                <w:sz w:val="24"/>
              </w:rPr>
            </w:pPr>
            <w:r>
              <w:rPr>
                <w:rFonts w:hint="eastAsia" w:ascii="楷体_GB2312" w:eastAsia="楷体_GB2312"/>
                <w:sz w:val="24"/>
              </w:rPr>
              <w:t>市财政</w:t>
            </w:r>
          </w:p>
        </w:tc>
        <w:tc>
          <w:tcPr>
            <w:tcW w:w="1955" w:type="dxa"/>
            <w:vAlign w:val="center"/>
          </w:tcPr>
          <w:p w14:paraId="3F85ACCB">
            <w:pPr>
              <w:spacing w:line="320" w:lineRule="exact"/>
              <w:rPr>
                <w:rFonts w:hint="default" w:eastAsia="楷体_GB2312"/>
                <w:lang w:val="en-US" w:eastAsia="zh-CN"/>
              </w:rPr>
            </w:pPr>
            <w:r>
              <w:rPr>
                <w:rFonts w:hint="eastAsia" w:eastAsia="楷体_GB2312"/>
                <w:lang w:val="en-US" w:eastAsia="zh-CN"/>
              </w:rPr>
              <w:t>80万元</w:t>
            </w:r>
          </w:p>
        </w:tc>
      </w:tr>
      <w:tr w14:paraId="1857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4944A3A0">
            <w:pPr>
              <w:spacing w:line="320" w:lineRule="exact"/>
              <w:ind w:firstLine="760" w:firstLineChars="317"/>
              <w:rPr>
                <w:rFonts w:eastAsia="楷体_GB2312"/>
                <w:sz w:val="24"/>
              </w:rPr>
            </w:pPr>
            <w:r>
              <w:rPr>
                <w:rFonts w:hint="eastAsia" w:ascii="楷体_GB2312" w:eastAsia="楷体_GB2312"/>
                <w:sz w:val="24"/>
              </w:rPr>
              <w:t>县财政</w:t>
            </w:r>
          </w:p>
        </w:tc>
        <w:tc>
          <w:tcPr>
            <w:tcW w:w="2070" w:type="dxa"/>
            <w:vAlign w:val="center"/>
          </w:tcPr>
          <w:p w14:paraId="486CAC6C">
            <w:pPr>
              <w:spacing w:line="320" w:lineRule="exact"/>
              <w:rPr>
                <w:rFonts w:eastAsia="楷体_GB2312"/>
              </w:rPr>
            </w:pPr>
          </w:p>
        </w:tc>
        <w:tc>
          <w:tcPr>
            <w:tcW w:w="2455" w:type="dxa"/>
            <w:gridSpan w:val="5"/>
            <w:vAlign w:val="center"/>
          </w:tcPr>
          <w:p w14:paraId="6AB7A8A9">
            <w:pPr>
              <w:spacing w:line="320" w:lineRule="exact"/>
              <w:ind w:firstLine="760" w:firstLineChars="317"/>
              <w:rPr>
                <w:rFonts w:eastAsia="楷体_GB2312"/>
                <w:sz w:val="24"/>
              </w:rPr>
            </w:pPr>
            <w:r>
              <w:rPr>
                <w:rFonts w:hint="eastAsia" w:ascii="楷体_GB2312" w:eastAsia="楷体_GB2312"/>
                <w:sz w:val="24"/>
              </w:rPr>
              <w:t>县财政</w:t>
            </w:r>
          </w:p>
        </w:tc>
        <w:tc>
          <w:tcPr>
            <w:tcW w:w="1955" w:type="dxa"/>
            <w:vAlign w:val="center"/>
          </w:tcPr>
          <w:p w14:paraId="5E20C10E">
            <w:pPr>
              <w:spacing w:line="320" w:lineRule="exact"/>
              <w:rPr>
                <w:rFonts w:eastAsia="楷体_GB2312"/>
              </w:rPr>
            </w:pPr>
          </w:p>
        </w:tc>
      </w:tr>
      <w:tr w14:paraId="0F20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463BF6B9">
            <w:pPr>
              <w:spacing w:line="320" w:lineRule="exact"/>
              <w:ind w:firstLine="760" w:firstLineChars="317"/>
              <w:rPr>
                <w:rFonts w:eastAsia="楷体_GB2312"/>
                <w:sz w:val="24"/>
              </w:rPr>
            </w:pPr>
            <w:r>
              <w:rPr>
                <w:rFonts w:hint="eastAsia" w:ascii="楷体_GB2312" w:eastAsia="楷体_GB2312"/>
                <w:sz w:val="24"/>
              </w:rPr>
              <w:t>单位自筹</w:t>
            </w:r>
          </w:p>
        </w:tc>
        <w:tc>
          <w:tcPr>
            <w:tcW w:w="2070" w:type="dxa"/>
            <w:vAlign w:val="center"/>
          </w:tcPr>
          <w:p w14:paraId="7D6A3016">
            <w:pPr>
              <w:spacing w:line="320" w:lineRule="exact"/>
              <w:rPr>
                <w:rFonts w:eastAsia="楷体_GB2312"/>
              </w:rPr>
            </w:pPr>
          </w:p>
        </w:tc>
        <w:tc>
          <w:tcPr>
            <w:tcW w:w="2455" w:type="dxa"/>
            <w:gridSpan w:val="5"/>
            <w:vAlign w:val="center"/>
          </w:tcPr>
          <w:p w14:paraId="256789E8">
            <w:pPr>
              <w:spacing w:line="320" w:lineRule="exact"/>
              <w:ind w:firstLine="760" w:firstLineChars="317"/>
              <w:rPr>
                <w:rFonts w:eastAsia="楷体_GB2312"/>
                <w:sz w:val="24"/>
              </w:rPr>
            </w:pPr>
            <w:r>
              <w:rPr>
                <w:rFonts w:hint="eastAsia" w:ascii="楷体_GB2312" w:eastAsia="楷体_GB2312"/>
                <w:sz w:val="24"/>
              </w:rPr>
              <w:t>单位自筹</w:t>
            </w:r>
          </w:p>
        </w:tc>
        <w:tc>
          <w:tcPr>
            <w:tcW w:w="1955" w:type="dxa"/>
            <w:vAlign w:val="center"/>
          </w:tcPr>
          <w:p w14:paraId="59485E2A">
            <w:pPr>
              <w:spacing w:line="320" w:lineRule="exact"/>
              <w:rPr>
                <w:rFonts w:eastAsia="楷体_GB2312"/>
              </w:rPr>
            </w:pPr>
          </w:p>
        </w:tc>
      </w:tr>
      <w:tr w14:paraId="7586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7A41FDD4">
            <w:pPr>
              <w:spacing w:line="320" w:lineRule="exact"/>
              <w:ind w:firstLine="760" w:firstLineChars="317"/>
              <w:rPr>
                <w:rFonts w:eastAsia="楷体_GB2312"/>
                <w:sz w:val="24"/>
              </w:rPr>
            </w:pPr>
            <w:r>
              <w:rPr>
                <w:rFonts w:hint="eastAsia" w:ascii="楷体_GB2312" w:eastAsia="楷体_GB2312"/>
                <w:sz w:val="24"/>
              </w:rPr>
              <w:t>其他</w:t>
            </w:r>
          </w:p>
        </w:tc>
        <w:tc>
          <w:tcPr>
            <w:tcW w:w="2070" w:type="dxa"/>
          </w:tcPr>
          <w:p w14:paraId="37DA2EAE">
            <w:pPr>
              <w:spacing w:line="320" w:lineRule="exact"/>
              <w:rPr>
                <w:rFonts w:eastAsia="楷体_GB2312"/>
              </w:rPr>
            </w:pPr>
          </w:p>
        </w:tc>
        <w:tc>
          <w:tcPr>
            <w:tcW w:w="2455" w:type="dxa"/>
            <w:gridSpan w:val="5"/>
            <w:vAlign w:val="center"/>
          </w:tcPr>
          <w:p w14:paraId="372ED310">
            <w:pPr>
              <w:spacing w:line="320" w:lineRule="exact"/>
              <w:ind w:firstLine="760" w:firstLineChars="317"/>
              <w:rPr>
                <w:rFonts w:eastAsia="楷体_GB2312"/>
                <w:sz w:val="24"/>
              </w:rPr>
            </w:pPr>
            <w:r>
              <w:rPr>
                <w:rFonts w:hint="eastAsia" w:ascii="楷体_GB2312" w:eastAsia="楷体_GB2312"/>
                <w:sz w:val="24"/>
              </w:rPr>
              <w:t>其他</w:t>
            </w:r>
          </w:p>
        </w:tc>
        <w:tc>
          <w:tcPr>
            <w:tcW w:w="1955" w:type="dxa"/>
            <w:vAlign w:val="center"/>
          </w:tcPr>
          <w:p w14:paraId="5435612B">
            <w:pPr>
              <w:spacing w:line="320" w:lineRule="exact"/>
              <w:rPr>
                <w:rFonts w:eastAsia="楷体_GB2312"/>
              </w:rPr>
            </w:pPr>
          </w:p>
        </w:tc>
      </w:tr>
      <w:tr w14:paraId="2746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900" w:type="dxa"/>
            <w:vAlign w:val="center"/>
          </w:tcPr>
          <w:p w14:paraId="45270D71">
            <w:pPr>
              <w:spacing w:line="320" w:lineRule="exact"/>
              <w:jc w:val="center"/>
              <w:rPr>
                <w:rFonts w:eastAsia="楷体_GB2312"/>
                <w:sz w:val="24"/>
              </w:rPr>
            </w:pPr>
            <w:r>
              <w:rPr>
                <w:rFonts w:hint="eastAsia" w:ascii="楷体_GB2312" w:eastAsia="楷体_GB2312"/>
                <w:sz w:val="24"/>
              </w:rPr>
              <w:t>基</w:t>
            </w:r>
          </w:p>
          <w:p w14:paraId="229B9ABE">
            <w:pPr>
              <w:spacing w:line="320" w:lineRule="exact"/>
              <w:jc w:val="center"/>
              <w:rPr>
                <w:rFonts w:ascii="楷体_GB2312" w:eastAsia="楷体_GB2312"/>
                <w:sz w:val="24"/>
              </w:rPr>
            </w:pPr>
            <w:r>
              <w:rPr>
                <w:rFonts w:hint="eastAsia" w:ascii="楷体_GB2312" w:eastAsia="楷体_GB2312"/>
                <w:sz w:val="24"/>
              </w:rPr>
              <w:t>本</w:t>
            </w:r>
          </w:p>
          <w:p w14:paraId="73EA3863">
            <w:pPr>
              <w:spacing w:line="320" w:lineRule="exact"/>
              <w:jc w:val="center"/>
              <w:rPr>
                <w:rFonts w:ascii="楷体_GB2312" w:eastAsia="楷体_GB2312"/>
                <w:sz w:val="24"/>
              </w:rPr>
            </w:pPr>
            <w:r>
              <w:rPr>
                <w:rFonts w:hint="eastAsia" w:ascii="楷体_GB2312" w:eastAsia="楷体_GB2312"/>
                <w:sz w:val="24"/>
              </w:rPr>
              <w:t>概</w:t>
            </w:r>
          </w:p>
          <w:p w14:paraId="0A8E9C3A">
            <w:pPr>
              <w:spacing w:line="320" w:lineRule="exact"/>
              <w:jc w:val="center"/>
              <w:rPr>
                <w:rFonts w:eastAsia="楷体_GB2312"/>
              </w:rPr>
            </w:pPr>
            <w:r>
              <w:rPr>
                <w:rFonts w:hint="eastAsia" w:ascii="楷体_GB2312" w:eastAsia="楷体_GB2312"/>
                <w:sz w:val="24"/>
              </w:rPr>
              <w:t>况</w:t>
            </w:r>
          </w:p>
        </w:tc>
        <w:tc>
          <w:tcPr>
            <w:tcW w:w="7920" w:type="dxa"/>
            <w:gridSpan w:val="10"/>
          </w:tcPr>
          <w:p w14:paraId="2315FD1F">
            <w:pPr>
              <w:spacing w:line="360" w:lineRule="exact"/>
              <w:ind w:firstLine="420" w:firstLineChars="200"/>
              <w:jc w:val="left"/>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人民代表大会是人民行使国家权力的主要途径，根据宪法规定，全国人民代表大会和地方各级人民代表大会每年至少召开一次。</w:t>
            </w:r>
          </w:p>
          <w:p w14:paraId="615A644C">
            <w:pPr>
              <w:spacing w:line="320" w:lineRule="exact"/>
              <w:ind w:firstLine="420" w:firstLineChars="200"/>
              <w:rPr>
                <w:rFonts w:eastAsia="楷体_GB2312"/>
              </w:rPr>
            </w:pPr>
            <w:r>
              <w:rPr>
                <w:rFonts w:hint="eastAsia" w:ascii="仿宋" w:hAnsi="仿宋" w:eastAsia="仿宋" w:cs="仿宋"/>
                <w:color w:val="000000" w:themeColor="text1"/>
                <w:sz w:val="21"/>
                <w:szCs w:val="21"/>
                <w:lang w:val="en-US" w:eastAsia="zh-CN"/>
                <w14:textFill>
                  <w14:solidFill>
                    <w14:schemeClr w14:val="tx1"/>
                  </w14:solidFill>
                </w14:textFill>
              </w:rPr>
              <w:t>全年</w:t>
            </w:r>
            <w:r>
              <w:rPr>
                <w:rFonts w:hint="eastAsia" w:ascii="仿宋" w:hAnsi="仿宋" w:eastAsia="仿宋" w:cs="仿宋"/>
                <w:i w:val="0"/>
                <w:caps w:val="0"/>
                <w:color w:val="000000" w:themeColor="text1"/>
                <w:spacing w:val="0"/>
                <w:sz w:val="21"/>
                <w:szCs w:val="21"/>
                <w14:textFill>
                  <w14:solidFill>
                    <w14:schemeClr w14:val="tx1"/>
                  </w14:solidFill>
                </w14:textFill>
              </w:rPr>
              <w:t>召开人民代表大会</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14:textFill>
                  <w14:solidFill>
                    <w14:schemeClr w14:val="tx1"/>
                  </w14:solidFill>
                </w14:textFill>
              </w:rPr>
              <w:t>次</w:t>
            </w:r>
            <w:r>
              <w:rPr>
                <w:rFonts w:hint="eastAsia" w:ascii="仿宋" w:hAnsi="仿宋" w:eastAsia="仿宋" w:cs="仿宋"/>
                <w:i w:val="0"/>
                <w:caps w:val="0"/>
                <w:color w:val="000000" w:themeColor="text1"/>
                <w:spacing w:val="0"/>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常委会会议10次，主任会议18次，</w:t>
            </w:r>
            <w:r>
              <w:rPr>
                <w:rFonts w:hint="eastAsia" w:ascii="仿宋" w:hAnsi="仿宋" w:eastAsia="仿宋" w:cs="仿宋"/>
                <w:i w:val="0"/>
                <w:caps w:val="0"/>
                <w:color w:val="000000" w:themeColor="text1"/>
                <w:spacing w:val="0"/>
                <w:sz w:val="21"/>
                <w:szCs w:val="21"/>
                <w14:textFill>
                  <w14:solidFill>
                    <w14:schemeClr w14:val="tx1"/>
                  </w14:solidFill>
                </w14:textFill>
              </w:rPr>
              <w:t>听取和审议“一府</w:t>
            </w:r>
            <w:r>
              <w:rPr>
                <w:rFonts w:hint="eastAsia" w:ascii="仿宋" w:hAnsi="仿宋" w:eastAsia="仿宋" w:cs="仿宋"/>
                <w:i w:val="0"/>
                <w:caps w:val="0"/>
                <w:color w:val="000000" w:themeColor="text1"/>
                <w:spacing w:val="0"/>
                <w:sz w:val="21"/>
                <w:szCs w:val="21"/>
                <w:lang w:eastAsia="zh-CN"/>
                <w14:textFill>
                  <w14:solidFill>
                    <w14:schemeClr w14:val="tx1"/>
                  </w14:solidFill>
                </w14:textFill>
              </w:rPr>
              <w:t>一委</w:t>
            </w:r>
            <w:r>
              <w:rPr>
                <w:rFonts w:hint="eastAsia" w:ascii="仿宋" w:hAnsi="仿宋" w:eastAsia="仿宋" w:cs="仿宋"/>
                <w:i w:val="0"/>
                <w:caps w:val="0"/>
                <w:color w:val="000000" w:themeColor="text1"/>
                <w:spacing w:val="0"/>
                <w:sz w:val="21"/>
                <w:szCs w:val="21"/>
                <w14:textFill>
                  <w14:solidFill>
                    <w14:schemeClr w14:val="tx1"/>
                  </w14:solidFill>
                </w14:textFill>
              </w:rPr>
              <w:t>两院”工作报告</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15</w:t>
            </w:r>
            <w:r>
              <w:rPr>
                <w:rFonts w:hint="eastAsia" w:ascii="仿宋" w:hAnsi="仿宋" w:eastAsia="仿宋" w:cs="仿宋"/>
                <w:i w:val="0"/>
                <w:caps w:val="0"/>
                <w:color w:val="000000" w:themeColor="text1"/>
                <w:spacing w:val="0"/>
                <w:sz w:val="21"/>
                <w:szCs w:val="21"/>
                <w14:textFill>
                  <w14:solidFill>
                    <w14:schemeClr w14:val="tx1"/>
                  </w14:solidFill>
                </w14:textFill>
              </w:rPr>
              <w:t>个，开展执法检查</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14:textFill>
                  <w14:solidFill>
                    <w14:schemeClr w14:val="tx1"/>
                  </w14:solidFill>
                </w14:textFill>
              </w:rPr>
              <w:t>次，提出审议意见</w:t>
            </w:r>
            <w:r>
              <w:rPr>
                <w:rFonts w:hint="eastAsia" w:ascii="仿宋" w:hAnsi="仿宋" w:eastAsia="仿宋" w:cs="仿宋"/>
                <w:i w:val="0"/>
                <w:caps w:val="0"/>
                <w:color w:val="000000" w:themeColor="text1"/>
                <w:spacing w:val="0"/>
                <w:sz w:val="21"/>
                <w:szCs w:val="21"/>
                <w:lang w:val="en-US" w:eastAsia="zh-CN"/>
                <w14:textFill>
                  <w14:solidFill>
                    <w14:schemeClr w14:val="tx1"/>
                  </w14:solidFill>
                </w14:textFill>
              </w:rPr>
              <w:t>13</w:t>
            </w:r>
            <w:r>
              <w:rPr>
                <w:rFonts w:hint="eastAsia" w:ascii="仿宋" w:hAnsi="仿宋" w:eastAsia="仿宋" w:cs="仿宋"/>
                <w:i w:val="0"/>
                <w:caps w:val="0"/>
                <w:color w:val="000000" w:themeColor="text1"/>
                <w:spacing w:val="0"/>
                <w:sz w:val="21"/>
                <w:szCs w:val="21"/>
                <w14:textFill>
                  <w14:solidFill>
                    <w14:schemeClr w14:val="tx1"/>
                  </w14:solidFill>
                </w14:textFill>
              </w:rPr>
              <w:t>项</w:t>
            </w:r>
            <w:r>
              <w:rPr>
                <w:rFonts w:hint="eastAsia" w:ascii="仿宋" w:hAnsi="仿宋" w:eastAsia="仿宋" w:cs="仿宋"/>
                <w:i w:val="0"/>
                <w:caps w:val="0"/>
                <w:color w:val="000000" w:themeColor="text1"/>
                <w:spacing w:val="0"/>
                <w:sz w:val="21"/>
                <w:szCs w:val="21"/>
                <w:lang w:eastAsia="zh-CN"/>
                <w14:textFill>
                  <w14:solidFill>
                    <w14:schemeClr w14:val="tx1"/>
                  </w14:solidFill>
                </w14:textFill>
              </w:rPr>
              <w:t>。</w:t>
            </w:r>
            <w:r>
              <w:rPr>
                <w:rFonts w:hint="eastAsia" w:ascii="仿宋" w:hAnsi="仿宋" w:eastAsia="仿宋" w:cs="仿宋"/>
                <w:color w:val="000000" w:themeColor="text1"/>
                <w:spacing w:val="-11"/>
                <w:sz w:val="32"/>
                <w:szCs w:val="32"/>
                <w14:textFill>
                  <w14:solidFill>
                    <w14:schemeClr w14:val="tx1"/>
                  </w14:solidFill>
                </w14:textFill>
              </w:rPr>
              <w:t xml:space="preserve">  </w:t>
            </w:r>
            <w:r>
              <w:rPr>
                <w:rFonts w:hint="eastAsia" w:ascii="仿宋_GB2312" w:hAnsi="仿宋_GB2312" w:eastAsia="仿宋_GB2312" w:cs="仿宋_GB2312"/>
                <w:color w:val="FF0000"/>
                <w:spacing w:val="-11"/>
                <w:sz w:val="24"/>
                <w:szCs w:val="24"/>
              </w:rPr>
              <w:t xml:space="preserve"> </w:t>
            </w:r>
            <w:r>
              <w:rPr>
                <w:rFonts w:hint="eastAsia" w:ascii="仿宋_GB2312" w:hAnsi="仿宋_GB2312" w:eastAsia="仿宋_GB2312" w:cs="仿宋_GB2312"/>
                <w:spacing w:val="-11"/>
                <w:sz w:val="24"/>
                <w:szCs w:val="24"/>
              </w:rPr>
              <w:t xml:space="preserve"> </w:t>
            </w:r>
          </w:p>
        </w:tc>
      </w:tr>
      <w:tr w14:paraId="6EA6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atLeast"/>
        </w:trPr>
        <w:tc>
          <w:tcPr>
            <w:tcW w:w="900" w:type="dxa"/>
            <w:vAlign w:val="center"/>
          </w:tcPr>
          <w:p w14:paraId="4AC0F0AC">
            <w:pPr>
              <w:spacing w:line="320" w:lineRule="exact"/>
              <w:jc w:val="center"/>
              <w:rPr>
                <w:rFonts w:eastAsia="楷体_GB2312"/>
                <w:sz w:val="24"/>
              </w:rPr>
            </w:pPr>
            <w:r>
              <w:rPr>
                <w:rFonts w:hint="eastAsia" w:ascii="楷体_GB2312" w:eastAsia="楷体_GB2312"/>
                <w:sz w:val="24"/>
              </w:rPr>
              <w:t>项</w:t>
            </w:r>
          </w:p>
          <w:p w14:paraId="51522BED">
            <w:pPr>
              <w:spacing w:line="320" w:lineRule="exact"/>
              <w:jc w:val="center"/>
              <w:rPr>
                <w:rFonts w:ascii="楷体_GB2312" w:eastAsia="楷体_GB2312"/>
                <w:sz w:val="24"/>
              </w:rPr>
            </w:pPr>
            <w:r>
              <w:rPr>
                <w:rFonts w:hint="eastAsia" w:ascii="楷体_GB2312" w:eastAsia="楷体_GB2312"/>
                <w:sz w:val="24"/>
              </w:rPr>
              <w:t>目</w:t>
            </w:r>
          </w:p>
          <w:p w14:paraId="19F6ACEC">
            <w:pPr>
              <w:spacing w:line="320" w:lineRule="exact"/>
              <w:jc w:val="center"/>
              <w:rPr>
                <w:rFonts w:ascii="楷体_GB2312" w:eastAsia="楷体_GB2312"/>
                <w:sz w:val="24"/>
              </w:rPr>
            </w:pPr>
            <w:r>
              <w:rPr>
                <w:rFonts w:hint="eastAsia" w:ascii="楷体_GB2312" w:eastAsia="楷体_GB2312"/>
                <w:sz w:val="24"/>
              </w:rPr>
              <w:t>绩</w:t>
            </w:r>
          </w:p>
          <w:p w14:paraId="14FB1A27">
            <w:pPr>
              <w:spacing w:line="320" w:lineRule="exact"/>
              <w:jc w:val="center"/>
              <w:rPr>
                <w:rFonts w:ascii="楷体_GB2312" w:eastAsia="楷体_GB2312"/>
                <w:sz w:val="24"/>
              </w:rPr>
            </w:pPr>
            <w:r>
              <w:rPr>
                <w:rFonts w:hint="eastAsia" w:ascii="楷体_GB2312" w:eastAsia="楷体_GB2312"/>
                <w:sz w:val="24"/>
              </w:rPr>
              <w:t>效</w:t>
            </w:r>
          </w:p>
          <w:p w14:paraId="19D7D22E">
            <w:pPr>
              <w:spacing w:line="320" w:lineRule="exact"/>
              <w:jc w:val="center"/>
              <w:rPr>
                <w:rFonts w:ascii="楷体_GB2312" w:eastAsia="楷体_GB2312"/>
                <w:sz w:val="24"/>
              </w:rPr>
            </w:pPr>
            <w:r>
              <w:rPr>
                <w:rFonts w:hint="eastAsia" w:ascii="楷体_GB2312" w:eastAsia="楷体_GB2312"/>
                <w:sz w:val="24"/>
              </w:rPr>
              <w:t>目</w:t>
            </w:r>
          </w:p>
          <w:p w14:paraId="41B8689F">
            <w:pPr>
              <w:spacing w:line="320" w:lineRule="exact"/>
              <w:jc w:val="center"/>
              <w:rPr>
                <w:rFonts w:eastAsia="楷体_GB2312"/>
                <w:sz w:val="24"/>
              </w:rPr>
            </w:pPr>
            <w:r>
              <w:rPr>
                <w:rFonts w:hint="eastAsia" w:ascii="楷体_GB2312" w:eastAsia="楷体_GB2312"/>
                <w:sz w:val="24"/>
              </w:rPr>
              <w:t>标</w:t>
            </w:r>
          </w:p>
        </w:tc>
        <w:tc>
          <w:tcPr>
            <w:tcW w:w="7920" w:type="dxa"/>
            <w:gridSpan w:val="10"/>
            <w:vAlign w:val="center"/>
          </w:tcPr>
          <w:p w14:paraId="478FB896">
            <w:pPr>
              <w:tabs>
                <w:tab w:val="left" w:pos="1499"/>
                <w:tab w:val="center" w:pos="3912"/>
              </w:tabs>
              <w:spacing w:line="320" w:lineRule="exact"/>
              <w:jc w:val="left"/>
              <w:rPr>
                <w:rFonts w:hint="eastAsia" w:ascii="仿宋" w:hAnsi="仿宋" w:eastAsia="仿宋" w:cs="仿宋"/>
                <w:lang w:eastAsia="zh-CN"/>
              </w:rPr>
            </w:pPr>
            <w:r>
              <w:rPr>
                <w:rFonts w:hint="eastAsia" w:ascii="仿宋" w:hAnsi="仿宋" w:eastAsia="仿宋" w:cs="仿宋"/>
              </w:rPr>
              <w:t>1、按标准足额保障人代会相关会议费支出，确保人代会圆满完成</w:t>
            </w:r>
            <w:r>
              <w:rPr>
                <w:rFonts w:hint="eastAsia" w:ascii="仿宋" w:hAnsi="仿宋" w:eastAsia="仿宋" w:cs="仿宋"/>
                <w:lang w:eastAsia="zh-CN"/>
              </w:rPr>
              <w:t>；</w:t>
            </w:r>
          </w:p>
          <w:p w14:paraId="7F4A4AB4">
            <w:pPr>
              <w:tabs>
                <w:tab w:val="left" w:pos="1499"/>
                <w:tab w:val="center" w:pos="3912"/>
              </w:tabs>
              <w:spacing w:line="320" w:lineRule="exact"/>
              <w:jc w:val="left"/>
              <w:rPr>
                <w:rFonts w:hint="eastAsia" w:ascii="仿宋" w:hAnsi="仿宋" w:eastAsia="仿宋" w:cs="仿宋"/>
                <w:lang w:eastAsia="zh-CN"/>
              </w:rPr>
            </w:pPr>
            <w:r>
              <w:rPr>
                <w:rFonts w:hint="eastAsia" w:ascii="仿宋" w:hAnsi="仿宋" w:eastAsia="仿宋" w:cs="仿宋"/>
              </w:rPr>
              <w:t>2、确保人代会期间的相关协调经费支出</w:t>
            </w:r>
            <w:r>
              <w:rPr>
                <w:rFonts w:hint="eastAsia" w:ascii="仿宋" w:hAnsi="仿宋" w:eastAsia="仿宋" w:cs="仿宋"/>
                <w:lang w:eastAsia="zh-CN"/>
              </w:rPr>
              <w:t>；</w:t>
            </w:r>
          </w:p>
          <w:p w14:paraId="5DAFD44D">
            <w:pPr>
              <w:tabs>
                <w:tab w:val="left" w:pos="1499"/>
                <w:tab w:val="center" w:pos="3912"/>
              </w:tabs>
              <w:spacing w:line="320" w:lineRule="exact"/>
              <w:jc w:val="left"/>
              <w:rPr>
                <w:rFonts w:hint="eastAsia" w:ascii="仿宋" w:hAnsi="仿宋" w:eastAsia="仿宋" w:cs="仿宋"/>
                <w:lang w:eastAsia="zh-CN"/>
              </w:rPr>
            </w:pPr>
            <w:r>
              <w:rPr>
                <w:rFonts w:hint="eastAsia" w:ascii="仿宋" w:hAnsi="仿宋" w:eastAsia="仿宋" w:cs="仿宋"/>
              </w:rPr>
              <w:t>3、确保人代会期间的交通费用支出</w:t>
            </w:r>
            <w:r>
              <w:rPr>
                <w:rFonts w:hint="eastAsia" w:ascii="仿宋" w:hAnsi="仿宋" w:eastAsia="仿宋" w:cs="仿宋"/>
                <w:lang w:eastAsia="zh-CN"/>
              </w:rPr>
              <w:t>；</w:t>
            </w:r>
          </w:p>
          <w:p w14:paraId="24CCEE86">
            <w:pPr>
              <w:tabs>
                <w:tab w:val="left" w:pos="1499"/>
                <w:tab w:val="center" w:pos="3912"/>
              </w:tabs>
              <w:spacing w:line="320" w:lineRule="exact"/>
              <w:jc w:val="left"/>
              <w:rPr>
                <w:rFonts w:hint="eastAsia" w:ascii="仿宋" w:hAnsi="仿宋" w:eastAsia="仿宋" w:cs="仿宋"/>
                <w:lang w:eastAsia="zh-CN"/>
              </w:rPr>
            </w:pPr>
            <w:r>
              <w:rPr>
                <w:rFonts w:hint="eastAsia" w:ascii="仿宋" w:hAnsi="仿宋" w:eastAsia="仿宋" w:cs="仿宋"/>
              </w:rPr>
              <w:t>4、确保人代会期间应急费用支出</w:t>
            </w:r>
            <w:r>
              <w:rPr>
                <w:rFonts w:hint="eastAsia" w:ascii="仿宋" w:hAnsi="仿宋" w:eastAsia="仿宋" w:cs="仿宋"/>
                <w:lang w:eastAsia="zh-CN"/>
              </w:rPr>
              <w:t>；</w:t>
            </w:r>
          </w:p>
          <w:p w14:paraId="192D097F">
            <w:pPr>
              <w:tabs>
                <w:tab w:val="left" w:pos="1499"/>
                <w:tab w:val="center" w:pos="3912"/>
              </w:tabs>
              <w:spacing w:line="320" w:lineRule="exact"/>
              <w:jc w:val="left"/>
              <w:rPr>
                <w:rFonts w:hint="eastAsia" w:ascii="仿宋" w:hAnsi="仿宋" w:eastAsia="仿宋" w:cs="仿宋"/>
                <w:lang w:eastAsia="zh-CN"/>
              </w:rPr>
            </w:pPr>
            <w:r>
              <w:rPr>
                <w:rFonts w:hint="eastAsia" w:ascii="仿宋" w:hAnsi="仿宋" w:eastAsia="仿宋" w:cs="仿宋"/>
              </w:rPr>
              <w:t>5、确保人代会的新闻宣传费用支出</w:t>
            </w:r>
            <w:r>
              <w:rPr>
                <w:rFonts w:hint="eastAsia" w:ascii="仿宋" w:hAnsi="仿宋" w:eastAsia="仿宋" w:cs="仿宋"/>
                <w:lang w:eastAsia="zh-CN"/>
              </w:rPr>
              <w:t>；</w:t>
            </w:r>
          </w:p>
          <w:p w14:paraId="1027D8A1">
            <w:pPr>
              <w:tabs>
                <w:tab w:val="left" w:pos="1499"/>
                <w:tab w:val="center" w:pos="3912"/>
              </w:tabs>
              <w:spacing w:line="320" w:lineRule="exact"/>
              <w:jc w:val="left"/>
              <w:rPr>
                <w:rFonts w:hint="eastAsia" w:ascii="仿宋" w:hAnsi="仿宋" w:eastAsia="仿宋" w:cs="仿宋"/>
                <w:lang w:eastAsia="zh-CN"/>
              </w:rPr>
            </w:pPr>
            <w:r>
              <w:rPr>
                <w:rFonts w:hint="eastAsia" w:ascii="仿宋" w:hAnsi="仿宋" w:eastAsia="仿宋" w:cs="仿宋"/>
              </w:rPr>
              <w:t>6、通过经费保障，确保人代会各项议程顺利进行，确保会议达到预期效果</w:t>
            </w:r>
            <w:r>
              <w:rPr>
                <w:rFonts w:hint="eastAsia" w:ascii="仿宋" w:hAnsi="仿宋" w:eastAsia="仿宋" w:cs="仿宋"/>
                <w:lang w:eastAsia="zh-CN"/>
              </w:rPr>
              <w:t>。</w:t>
            </w:r>
          </w:p>
          <w:p w14:paraId="6CA05891">
            <w:pPr>
              <w:pStyle w:val="2"/>
            </w:pPr>
          </w:p>
        </w:tc>
      </w:tr>
      <w:tr w14:paraId="120C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900" w:type="dxa"/>
            <w:vMerge w:val="restart"/>
            <w:vAlign w:val="center"/>
          </w:tcPr>
          <w:p w14:paraId="5DE09F52">
            <w:pPr>
              <w:spacing w:line="320" w:lineRule="exact"/>
              <w:jc w:val="center"/>
              <w:rPr>
                <w:rFonts w:eastAsia="楷体_GB2312"/>
                <w:sz w:val="24"/>
              </w:rPr>
            </w:pPr>
            <w:r>
              <w:rPr>
                <w:rFonts w:hint="eastAsia" w:ascii="楷体_GB2312" w:eastAsia="楷体_GB2312"/>
                <w:sz w:val="24"/>
              </w:rPr>
              <w:t>项</w:t>
            </w:r>
          </w:p>
          <w:p w14:paraId="7AF3B69F">
            <w:pPr>
              <w:spacing w:line="320" w:lineRule="exact"/>
              <w:jc w:val="center"/>
              <w:rPr>
                <w:rFonts w:ascii="楷体_GB2312" w:eastAsia="楷体_GB2312"/>
                <w:sz w:val="24"/>
              </w:rPr>
            </w:pPr>
            <w:r>
              <w:rPr>
                <w:rFonts w:hint="eastAsia" w:ascii="楷体_GB2312" w:eastAsia="楷体_GB2312"/>
                <w:sz w:val="24"/>
              </w:rPr>
              <w:t>目</w:t>
            </w:r>
          </w:p>
          <w:p w14:paraId="647E2C66">
            <w:pPr>
              <w:spacing w:line="320" w:lineRule="exact"/>
              <w:jc w:val="center"/>
              <w:rPr>
                <w:rFonts w:ascii="楷体_GB2312" w:eastAsia="楷体_GB2312"/>
                <w:sz w:val="24"/>
              </w:rPr>
            </w:pPr>
            <w:r>
              <w:rPr>
                <w:rFonts w:hint="eastAsia" w:ascii="楷体_GB2312" w:eastAsia="楷体_GB2312"/>
                <w:sz w:val="24"/>
              </w:rPr>
              <w:t>执</w:t>
            </w:r>
          </w:p>
          <w:p w14:paraId="044A6C49">
            <w:pPr>
              <w:spacing w:line="320" w:lineRule="exact"/>
              <w:jc w:val="center"/>
              <w:rPr>
                <w:rFonts w:ascii="楷体_GB2312" w:eastAsia="楷体_GB2312"/>
                <w:sz w:val="24"/>
              </w:rPr>
            </w:pPr>
            <w:r>
              <w:rPr>
                <w:rFonts w:hint="eastAsia" w:ascii="楷体_GB2312" w:eastAsia="楷体_GB2312"/>
                <w:sz w:val="24"/>
              </w:rPr>
              <w:t>行</w:t>
            </w:r>
          </w:p>
          <w:p w14:paraId="36A28314">
            <w:pPr>
              <w:spacing w:line="320" w:lineRule="exact"/>
              <w:jc w:val="center"/>
              <w:rPr>
                <w:rFonts w:ascii="楷体_GB2312" w:eastAsia="楷体_GB2312"/>
                <w:sz w:val="24"/>
              </w:rPr>
            </w:pPr>
            <w:r>
              <w:rPr>
                <w:rFonts w:hint="eastAsia" w:ascii="楷体_GB2312" w:eastAsia="楷体_GB2312"/>
                <w:sz w:val="24"/>
              </w:rPr>
              <w:t>情</w:t>
            </w:r>
          </w:p>
          <w:p w14:paraId="05E91C23">
            <w:pPr>
              <w:spacing w:line="320" w:lineRule="exact"/>
              <w:jc w:val="center"/>
              <w:rPr>
                <w:rFonts w:eastAsia="楷体_GB2312"/>
              </w:rPr>
            </w:pPr>
            <w:r>
              <w:rPr>
                <w:rFonts w:hint="eastAsia" w:ascii="楷体_GB2312" w:eastAsia="楷体_GB2312"/>
                <w:sz w:val="24"/>
              </w:rPr>
              <w:t>况</w:t>
            </w:r>
          </w:p>
        </w:tc>
        <w:tc>
          <w:tcPr>
            <w:tcW w:w="1024" w:type="dxa"/>
            <w:vAlign w:val="center"/>
          </w:tcPr>
          <w:p w14:paraId="454FF4FB">
            <w:pPr>
              <w:spacing w:line="320" w:lineRule="exact"/>
              <w:jc w:val="center"/>
              <w:rPr>
                <w:rFonts w:ascii="楷体_GB2312" w:eastAsia="楷体_GB2312"/>
              </w:rPr>
            </w:pPr>
            <w:r>
              <w:rPr>
                <w:rFonts w:hint="eastAsia" w:ascii="楷体_GB2312" w:eastAsia="楷体_GB2312"/>
              </w:rPr>
              <w:t>资金</w:t>
            </w:r>
          </w:p>
          <w:p w14:paraId="2F8A7F69">
            <w:pPr>
              <w:spacing w:line="320" w:lineRule="exact"/>
              <w:jc w:val="center"/>
              <w:rPr>
                <w:rFonts w:ascii="楷体_GB2312" w:eastAsia="楷体_GB2312"/>
              </w:rPr>
            </w:pPr>
            <w:r>
              <w:rPr>
                <w:rFonts w:hint="eastAsia" w:ascii="楷体_GB2312" w:eastAsia="楷体_GB2312"/>
              </w:rPr>
              <w:t>投入</w:t>
            </w:r>
          </w:p>
          <w:p w14:paraId="48D971AB">
            <w:pPr>
              <w:spacing w:line="320" w:lineRule="exact"/>
              <w:jc w:val="center"/>
              <w:rPr>
                <w:rFonts w:eastAsia="楷体_GB2312"/>
              </w:rPr>
            </w:pPr>
            <w:r>
              <w:rPr>
                <w:rFonts w:hint="eastAsia" w:ascii="楷体_GB2312" w:eastAsia="楷体_GB2312"/>
              </w:rPr>
              <w:t>情况</w:t>
            </w:r>
          </w:p>
        </w:tc>
        <w:tc>
          <w:tcPr>
            <w:tcW w:w="6896" w:type="dxa"/>
            <w:gridSpan w:val="9"/>
            <w:vAlign w:val="center"/>
          </w:tcPr>
          <w:p w14:paraId="5C3F6F86">
            <w:pPr>
              <w:spacing w:line="320" w:lineRule="exact"/>
              <w:jc w:val="both"/>
              <w:rPr>
                <w:rFonts w:eastAsia="楷体_GB2312"/>
              </w:rPr>
            </w:pPr>
            <w:r>
              <w:rPr>
                <w:rFonts w:hint="eastAsia" w:ascii="仿宋_GB2312" w:hAnsi="仿宋_GB2312" w:eastAsia="仿宋_GB2312" w:cs="仿宋_GB2312"/>
                <w:color w:val="333333"/>
                <w:sz w:val="21"/>
                <w:szCs w:val="21"/>
                <w:shd w:val="clear" w:color="auto" w:fill="FFFFFF"/>
              </w:rPr>
              <w:t>202</w:t>
            </w:r>
            <w:r>
              <w:rPr>
                <w:rFonts w:hint="eastAsia" w:ascii="仿宋_GB2312" w:hAnsi="仿宋_GB2312" w:eastAsia="仿宋_GB2312" w:cs="仿宋_GB2312"/>
                <w:color w:val="333333"/>
                <w:sz w:val="21"/>
                <w:szCs w:val="21"/>
                <w:shd w:val="clear" w:color="auto" w:fill="FFFFFF"/>
                <w:lang w:val="en-US" w:eastAsia="zh-CN"/>
              </w:rPr>
              <w:t>1</w:t>
            </w:r>
            <w:r>
              <w:rPr>
                <w:rFonts w:hint="eastAsia" w:ascii="仿宋_GB2312" w:hAnsi="仿宋_GB2312" w:eastAsia="仿宋_GB2312" w:cs="仿宋_GB2312"/>
                <w:color w:val="333333"/>
                <w:sz w:val="21"/>
                <w:szCs w:val="21"/>
                <w:shd w:val="clear" w:color="auto" w:fill="FFFFFF"/>
              </w:rPr>
              <w:t>年预算批复人大会议经费</w:t>
            </w:r>
            <w:r>
              <w:rPr>
                <w:rFonts w:hint="eastAsia" w:ascii="仿宋_GB2312" w:hAnsi="仿宋_GB2312" w:eastAsia="仿宋_GB2312" w:cs="仿宋_GB2312"/>
                <w:color w:val="333333"/>
                <w:sz w:val="21"/>
                <w:szCs w:val="21"/>
                <w:shd w:val="clear" w:color="auto" w:fill="FFFFFF"/>
                <w:lang w:val="en-US" w:eastAsia="zh-CN"/>
              </w:rPr>
              <w:t>64</w:t>
            </w:r>
            <w:r>
              <w:rPr>
                <w:rFonts w:hint="eastAsia" w:ascii="仿宋_GB2312" w:hAnsi="仿宋_GB2312" w:eastAsia="仿宋_GB2312" w:cs="仿宋_GB2312"/>
                <w:color w:val="333333"/>
                <w:sz w:val="21"/>
                <w:szCs w:val="21"/>
                <w:shd w:val="clear" w:color="auto" w:fill="FFFFFF"/>
              </w:rPr>
              <w:t>万元，</w:t>
            </w:r>
            <w:r>
              <w:rPr>
                <w:rFonts w:hint="eastAsia" w:ascii="仿宋_GB2312" w:hAnsi="仿宋_GB2312" w:eastAsia="仿宋_GB2312" w:cs="仿宋_GB2312"/>
                <w:color w:val="333333"/>
                <w:sz w:val="21"/>
                <w:szCs w:val="21"/>
                <w:shd w:val="clear" w:color="auto" w:fill="FFFFFF"/>
                <w:lang w:eastAsia="zh-CN"/>
              </w:rPr>
              <w:t>财政追加</w:t>
            </w:r>
            <w:r>
              <w:rPr>
                <w:rFonts w:hint="eastAsia" w:ascii="仿宋_GB2312" w:hAnsi="仿宋_GB2312" w:eastAsia="仿宋_GB2312" w:cs="仿宋_GB2312"/>
                <w:color w:val="333333"/>
                <w:sz w:val="21"/>
                <w:szCs w:val="21"/>
                <w:shd w:val="clear" w:color="auto" w:fill="FFFFFF"/>
                <w:lang w:val="en-US" w:eastAsia="zh-CN"/>
              </w:rPr>
              <w:t>32万元，</w:t>
            </w:r>
            <w:r>
              <w:rPr>
                <w:rFonts w:hint="eastAsia" w:ascii="仿宋_GB2312" w:hAnsi="仿宋_GB2312" w:eastAsia="仿宋_GB2312" w:cs="仿宋_GB2312"/>
                <w:color w:val="333333"/>
                <w:sz w:val="21"/>
                <w:szCs w:val="21"/>
                <w:shd w:val="clear" w:color="auto" w:fill="FFFFFF"/>
              </w:rPr>
              <w:t>实际开支</w:t>
            </w:r>
            <w:r>
              <w:rPr>
                <w:rFonts w:hint="eastAsia" w:ascii="仿宋_GB2312" w:hAnsi="仿宋_GB2312" w:eastAsia="仿宋_GB2312" w:cs="仿宋_GB2312"/>
                <w:color w:val="333333"/>
                <w:sz w:val="21"/>
                <w:szCs w:val="21"/>
                <w:shd w:val="clear" w:color="auto" w:fill="FFFFFF"/>
                <w:lang w:val="en-US" w:eastAsia="zh-CN"/>
              </w:rPr>
              <w:t>80</w:t>
            </w:r>
            <w:r>
              <w:rPr>
                <w:rFonts w:hint="eastAsia" w:ascii="仿宋_GB2312" w:hAnsi="仿宋_GB2312" w:eastAsia="仿宋_GB2312" w:cs="仿宋_GB2312"/>
                <w:color w:val="333333"/>
                <w:sz w:val="21"/>
                <w:szCs w:val="21"/>
                <w:shd w:val="clear" w:color="auto" w:fill="FFFFFF"/>
              </w:rPr>
              <w:t>万元。</w:t>
            </w:r>
          </w:p>
        </w:tc>
      </w:tr>
      <w:tr w14:paraId="7391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0" w:type="dxa"/>
            <w:vMerge w:val="continue"/>
            <w:vAlign w:val="center"/>
          </w:tcPr>
          <w:p w14:paraId="1792E0A4">
            <w:pPr>
              <w:widowControl/>
              <w:jc w:val="left"/>
              <w:rPr>
                <w:rFonts w:eastAsia="楷体_GB2312"/>
              </w:rPr>
            </w:pPr>
          </w:p>
        </w:tc>
        <w:tc>
          <w:tcPr>
            <w:tcW w:w="1024" w:type="dxa"/>
            <w:vAlign w:val="center"/>
          </w:tcPr>
          <w:p w14:paraId="4E1D5A72">
            <w:pPr>
              <w:spacing w:line="320" w:lineRule="exact"/>
              <w:jc w:val="center"/>
              <w:rPr>
                <w:rFonts w:ascii="楷体_GB2312" w:eastAsia="楷体_GB2312"/>
              </w:rPr>
            </w:pPr>
            <w:r>
              <w:rPr>
                <w:rFonts w:hint="eastAsia" w:ascii="楷体_GB2312" w:eastAsia="楷体_GB2312"/>
              </w:rPr>
              <w:t>绩效</w:t>
            </w:r>
          </w:p>
          <w:p w14:paraId="17D6A073">
            <w:pPr>
              <w:spacing w:line="320" w:lineRule="exact"/>
              <w:jc w:val="center"/>
              <w:rPr>
                <w:rFonts w:ascii="楷体_GB2312" w:eastAsia="楷体_GB2312"/>
              </w:rPr>
            </w:pPr>
            <w:r>
              <w:rPr>
                <w:rFonts w:hint="eastAsia" w:ascii="楷体_GB2312" w:eastAsia="楷体_GB2312"/>
              </w:rPr>
              <w:t>目标</w:t>
            </w:r>
          </w:p>
          <w:p w14:paraId="0DBADAA8">
            <w:pPr>
              <w:spacing w:line="320" w:lineRule="exact"/>
              <w:jc w:val="center"/>
              <w:rPr>
                <w:rFonts w:ascii="楷体_GB2312" w:eastAsia="楷体_GB2312"/>
              </w:rPr>
            </w:pPr>
            <w:r>
              <w:rPr>
                <w:rFonts w:hint="eastAsia" w:ascii="楷体_GB2312" w:eastAsia="楷体_GB2312"/>
              </w:rPr>
              <w:t>实现</w:t>
            </w:r>
          </w:p>
          <w:p w14:paraId="679F4FC6">
            <w:pPr>
              <w:spacing w:line="320" w:lineRule="exact"/>
              <w:jc w:val="center"/>
              <w:rPr>
                <w:rFonts w:eastAsia="楷体_GB2312"/>
              </w:rPr>
            </w:pPr>
            <w:r>
              <w:rPr>
                <w:rFonts w:hint="eastAsia" w:ascii="楷体_GB2312" w:eastAsia="楷体_GB2312"/>
              </w:rPr>
              <w:t>情况</w:t>
            </w:r>
          </w:p>
        </w:tc>
        <w:tc>
          <w:tcPr>
            <w:tcW w:w="6896" w:type="dxa"/>
            <w:gridSpan w:val="9"/>
          </w:tcPr>
          <w:p w14:paraId="37CD0849">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right="0" w:rightChars="0" w:firstLine="420" w:firstLineChars="200"/>
              <w:jc w:val="both"/>
              <w:textAlignment w:val="auto"/>
              <w:outlineLvl w:val="9"/>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shd w:val="clear" w:color="auto" w:fill="FFFFFF"/>
              </w:rPr>
              <w:t>鉴于本项目在人代会结束后按实际支出进行结算，因此，各项支出得到有效控制和规范支出。</w:t>
            </w:r>
            <w:r>
              <w:rPr>
                <w:rFonts w:hint="eastAsia" w:ascii="仿宋" w:hAnsi="仿宋" w:eastAsia="仿宋" w:cs="仿宋"/>
                <w:color w:val="000000"/>
                <w:kern w:val="2"/>
                <w:sz w:val="21"/>
                <w:szCs w:val="21"/>
                <w:lang w:val="en-US" w:eastAsia="zh-CN" w:bidi="ar-SA"/>
              </w:rPr>
              <w:t>扎实做好市十届人大代表换届选举工作，依法选举产生市人大代表203名，乡（镇）人大代表335名,圆满完成我市市乡两级人大代表换届选举任务。加强对乡镇新一届人民代表大会第一次会议指导，依法选举产生乡镇新一届人大、政府领导班子成员36名。</w:t>
            </w:r>
          </w:p>
          <w:p w14:paraId="1670610A">
            <w:pPr>
              <w:spacing w:line="320" w:lineRule="exact"/>
              <w:rPr>
                <w:rFonts w:eastAsia="楷体_GB2312"/>
              </w:rPr>
            </w:pPr>
          </w:p>
        </w:tc>
      </w:tr>
      <w:tr w14:paraId="4C5F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1" w:hRule="atLeast"/>
        </w:trPr>
        <w:tc>
          <w:tcPr>
            <w:tcW w:w="900" w:type="dxa"/>
            <w:vMerge w:val="continue"/>
            <w:vAlign w:val="center"/>
          </w:tcPr>
          <w:p w14:paraId="4ACB7653">
            <w:pPr>
              <w:widowControl/>
              <w:jc w:val="left"/>
              <w:rPr>
                <w:rFonts w:eastAsia="楷体_GB2312"/>
              </w:rPr>
            </w:pPr>
          </w:p>
        </w:tc>
        <w:tc>
          <w:tcPr>
            <w:tcW w:w="1024" w:type="dxa"/>
            <w:vAlign w:val="center"/>
          </w:tcPr>
          <w:p w14:paraId="7D2B4D73">
            <w:pPr>
              <w:spacing w:line="320" w:lineRule="exact"/>
              <w:jc w:val="center"/>
              <w:rPr>
                <w:rFonts w:ascii="楷体_GB2312" w:eastAsia="楷体_GB2312"/>
              </w:rPr>
            </w:pPr>
            <w:r>
              <w:rPr>
                <w:rFonts w:hint="eastAsia" w:ascii="楷体_GB2312" w:eastAsia="楷体_GB2312"/>
              </w:rPr>
              <w:t>经济</w:t>
            </w:r>
          </w:p>
          <w:p w14:paraId="6358ECF9">
            <w:pPr>
              <w:spacing w:line="320" w:lineRule="exact"/>
              <w:jc w:val="center"/>
              <w:rPr>
                <w:rFonts w:ascii="楷体_GB2312" w:eastAsia="楷体_GB2312"/>
              </w:rPr>
            </w:pPr>
            <w:r>
              <w:rPr>
                <w:rFonts w:hint="eastAsia" w:ascii="楷体_GB2312" w:eastAsia="楷体_GB2312"/>
              </w:rPr>
              <w:t>效益</w:t>
            </w:r>
          </w:p>
          <w:p w14:paraId="321DDF25">
            <w:pPr>
              <w:spacing w:line="320" w:lineRule="exact"/>
              <w:jc w:val="center"/>
              <w:rPr>
                <w:rFonts w:eastAsia="楷体_GB2312"/>
              </w:rPr>
            </w:pPr>
            <w:r>
              <w:rPr>
                <w:rFonts w:hint="eastAsia" w:ascii="楷体_GB2312" w:eastAsia="楷体_GB2312"/>
              </w:rPr>
              <w:t>分析</w:t>
            </w:r>
          </w:p>
        </w:tc>
        <w:tc>
          <w:tcPr>
            <w:tcW w:w="6896" w:type="dxa"/>
            <w:gridSpan w:val="9"/>
          </w:tcPr>
          <w:p w14:paraId="6BCD57F3">
            <w:pPr>
              <w:keepNext w:val="0"/>
              <w:keepLines w:val="0"/>
              <w:pageBreakBefore w:val="0"/>
              <w:widowControl w:val="0"/>
              <w:kinsoku/>
              <w:wordWrap/>
              <w:overflowPunct/>
              <w:topLinePunct w:val="0"/>
              <w:autoSpaceDE/>
              <w:autoSpaceDN/>
              <w:bidi w:val="0"/>
              <w:adjustRightInd w:val="0"/>
              <w:snapToGrid w:val="0"/>
              <w:spacing w:line="0" w:lineRule="atLeast"/>
              <w:ind w:firstLine="420" w:firstLineChars="200"/>
              <w:textAlignment w:val="auto"/>
              <w:rPr>
                <w:rFonts w:hint="eastAsia" w:ascii="仿宋" w:hAnsi="仿宋" w:eastAsia="仿宋" w:cs="仿宋"/>
                <w:i w:val="0"/>
                <w:caps w:val="0"/>
                <w:color w:val="000000"/>
                <w:spacing w:val="0"/>
                <w:kern w:val="0"/>
                <w:sz w:val="21"/>
                <w:szCs w:val="21"/>
                <w:shd w:val="clear" w:fill="FFFFFF"/>
                <w:vertAlign w:val="baseline"/>
                <w:lang w:val="en-US" w:eastAsia="zh-CN" w:bidi="ar"/>
              </w:rPr>
            </w:pPr>
            <w:r>
              <w:rPr>
                <w:rFonts w:hint="eastAsia" w:ascii="仿宋" w:hAnsi="仿宋" w:eastAsia="仿宋" w:cs="仿宋"/>
                <w:color w:val="323232"/>
                <w:sz w:val="21"/>
                <w:szCs w:val="21"/>
                <w:shd w:val="clear" w:color="auto" w:fill="FFFFFF"/>
              </w:rPr>
              <w:t>吉首市第十届人民代表大会第</w:t>
            </w:r>
            <w:r>
              <w:rPr>
                <w:rFonts w:hint="eastAsia" w:ascii="仿宋" w:hAnsi="仿宋" w:eastAsia="仿宋" w:cs="仿宋"/>
                <w:color w:val="323232"/>
                <w:sz w:val="21"/>
                <w:szCs w:val="21"/>
                <w:shd w:val="clear" w:color="auto" w:fill="FFFFFF"/>
                <w:lang w:eastAsia="zh-CN"/>
              </w:rPr>
              <w:t>七</w:t>
            </w:r>
            <w:r>
              <w:rPr>
                <w:rFonts w:hint="eastAsia" w:ascii="仿宋" w:hAnsi="仿宋" w:eastAsia="仿宋" w:cs="仿宋"/>
                <w:color w:val="323232"/>
                <w:sz w:val="21"/>
                <w:szCs w:val="21"/>
                <w:shd w:val="clear" w:color="auto" w:fill="FFFFFF"/>
              </w:rPr>
              <w:t>次会议</w:t>
            </w:r>
            <w:r>
              <w:rPr>
                <w:rFonts w:hint="eastAsia" w:ascii="仿宋" w:hAnsi="仿宋" w:eastAsia="仿宋" w:cs="仿宋"/>
                <w:color w:val="323232"/>
                <w:sz w:val="21"/>
                <w:szCs w:val="21"/>
                <w:shd w:val="clear" w:color="auto" w:fill="FFFFFF"/>
                <w:lang w:eastAsia="zh-CN"/>
              </w:rPr>
              <w:t>、第八次会议</w:t>
            </w:r>
            <w:r>
              <w:rPr>
                <w:rFonts w:hint="eastAsia" w:ascii="仿宋" w:hAnsi="仿宋" w:eastAsia="仿宋" w:cs="仿宋"/>
                <w:color w:val="323232"/>
                <w:sz w:val="21"/>
                <w:szCs w:val="21"/>
                <w:shd w:val="clear" w:color="auto" w:fill="FFFFFF"/>
              </w:rPr>
              <w:t>的胜利召开，总结了吉首市20</w:t>
            </w:r>
            <w:r>
              <w:rPr>
                <w:rFonts w:hint="eastAsia" w:ascii="仿宋" w:hAnsi="仿宋" w:eastAsia="仿宋" w:cs="仿宋"/>
                <w:color w:val="323232"/>
                <w:sz w:val="21"/>
                <w:szCs w:val="21"/>
                <w:shd w:val="clear" w:color="auto" w:fill="FFFFFF"/>
                <w:lang w:val="en-US" w:eastAsia="zh-CN"/>
              </w:rPr>
              <w:t>21</w:t>
            </w:r>
            <w:r>
              <w:rPr>
                <w:rFonts w:hint="eastAsia" w:ascii="仿宋" w:hAnsi="仿宋" w:eastAsia="仿宋" w:cs="仿宋"/>
                <w:color w:val="323232"/>
                <w:sz w:val="21"/>
                <w:szCs w:val="21"/>
                <w:shd w:val="clear" w:color="auto" w:fill="FFFFFF"/>
              </w:rPr>
              <w:t>年经济建设取得的成绩，规划了202</w:t>
            </w:r>
            <w:r>
              <w:rPr>
                <w:rFonts w:hint="eastAsia" w:ascii="仿宋" w:hAnsi="仿宋" w:eastAsia="仿宋" w:cs="仿宋"/>
                <w:color w:val="323232"/>
                <w:sz w:val="21"/>
                <w:szCs w:val="21"/>
                <w:shd w:val="clear" w:color="auto" w:fill="FFFFFF"/>
                <w:lang w:val="en-US" w:eastAsia="zh-CN"/>
              </w:rPr>
              <w:t>2</w:t>
            </w:r>
            <w:r>
              <w:rPr>
                <w:rFonts w:hint="eastAsia" w:ascii="仿宋" w:hAnsi="仿宋" w:eastAsia="仿宋" w:cs="仿宋"/>
                <w:color w:val="323232"/>
                <w:sz w:val="21"/>
                <w:szCs w:val="21"/>
                <w:shd w:val="clear" w:color="auto" w:fill="FFFFFF"/>
              </w:rPr>
              <w:t>年度主要社会发展目标，</w:t>
            </w:r>
            <w:r>
              <w:rPr>
                <w:rFonts w:hint="eastAsia" w:ascii="仿宋" w:hAnsi="仿宋" w:eastAsia="仿宋" w:cs="仿宋"/>
                <w:i w:val="0"/>
                <w:caps w:val="0"/>
                <w:color w:val="000000"/>
                <w:spacing w:val="0"/>
                <w:kern w:val="0"/>
                <w:sz w:val="21"/>
                <w:szCs w:val="21"/>
                <w:shd w:val="clear" w:fill="FFFFFF"/>
                <w:vertAlign w:val="baseline"/>
                <w:lang w:val="en-US" w:eastAsia="zh-CN" w:bidi="ar"/>
              </w:rPr>
              <w:t>听取和审议2021年1－6月国民经济和社会发展计划执行情况报告，2020年财政决算和2021年1－6月预算执行情况的报告、</w:t>
            </w:r>
            <w:r>
              <w:rPr>
                <w:rFonts w:hint="eastAsia" w:ascii="仿宋" w:hAnsi="仿宋" w:eastAsia="仿宋" w:cs="仿宋"/>
                <w:color w:val="000000"/>
                <w:spacing w:val="-6"/>
                <w:sz w:val="21"/>
                <w:szCs w:val="21"/>
              </w:rPr>
              <w:t>20</w:t>
            </w:r>
            <w:r>
              <w:rPr>
                <w:rFonts w:hint="eastAsia" w:ascii="仿宋" w:hAnsi="仿宋" w:eastAsia="仿宋" w:cs="仿宋"/>
                <w:color w:val="000000"/>
                <w:spacing w:val="-6"/>
                <w:sz w:val="21"/>
                <w:szCs w:val="21"/>
                <w:lang w:val="en-US" w:eastAsia="zh-CN"/>
              </w:rPr>
              <w:t>20</w:t>
            </w:r>
            <w:r>
              <w:rPr>
                <w:rFonts w:hint="eastAsia" w:ascii="仿宋" w:hAnsi="仿宋" w:eastAsia="仿宋" w:cs="仿宋"/>
                <w:color w:val="000000"/>
                <w:spacing w:val="-6"/>
                <w:sz w:val="21"/>
                <w:szCs w:val="21"/>
              </w:rPr>
              <w:t>年度本级财政预算执行审计结果和审计工作的报告</w:t>
            </w:r>
            <w:r>
              <w:rPr>
                <w:rFonts w:hint="eastAsia" w:ascii="仿宋" w:hAnsi="仿宋" w:eastAsia="仿宋" w:cs="仿宋"/>
                <w:i w:val="0"/>
                <w:caps w:val="0"/>
                <w:color w:val="000000"/>
                <w:spacing w:val="0"/>
                <w:kern w:val="0"/>
                <w:sz w:val="21"/>
                <w:szCs w:val="21"/>
                <w:shd w:val="clear" w:fill="FFFFFF"/>
                <w:vertAlign w:val="baseline"/>
                <w:lang w:val="en-US" w:eastAsia="zh-CN" w:bidi="ar"/>
              </w:rPr>
              <w:t>，审查和批准了2021年预算调整方案，促进经济运行质量和效益不断提高；听取和审议国有资产管理情况的综合报告，审议</w:t>
            </w:r>
            <w:r>
              <w:rPr>
                <w:rFonts w:hint="eastAsia" w:ascii="仿宋" w:hAnsi="仿宋" w:eastAsia="仿宋" w:cs="仿宋"/>
                <w:sz w:val="21"/>
                <w:szCs w:val="21"/>
              </w:rPr>
              <w:t>企业</w:t>
            </w:r>
            <w:r>
              <w:rPr>
                <w:rFonts w:hint="eastAsia" w:ascii="仿宋" w:hAnsi="仿宋" w:eastAsia="仿宋" w:cs="仿宋"/>
                <w:sz w:val="21"/>
                <w:szCs w:val="21"/>
                <w:lang w:eastAsia="zh-CN"/>
              </w:rPr>
              <w:t>、</w:t>
            </w:r>
            <w:r>
              <w:rPr>
                <w:rFonts w:hint="eastAsia" w:ascii="仿宋" w:hAnsi="仿宋" w:eastAsia="仿宋" w:cs="仿宋"/>
                <w:kern w:val="0"/>
                <w:sz w:val="21"/>
                <w:szCs w:val="21"/>
              </w:rPr>
              <w:t>行政事业性国有资产管理</w:t>
            </w:r>
            <w:r>
              <w:rPr>
                <w:rFonts w:hint="eastAsia" w:ascii="仿宋" w:hAnsi="仿宋" w:eastAsia="仿宋" w:cs="仿宋"/>
                <w:kern w:val="0"/>
                <w:sz w:val="21"/>
                <w:szCs w:val="21"/>
                <w:lang w:eastAsia="zh-CN"/>
              </w:rPr>
              <w:t>、</w:t>
            </w:r>
            <w:r>
              <w:rPr>
                <w:rFonts w:hint="eastAsia" w:ascii="仿宋" w:hAnsi="仿宋" w:eastAsia="仿宋" w:cs="仿宋"/>
                <w:sz w:val="21"/>
                <w:szCs w:val="21"/>
              </w:rPr>
              <w:t>国有自然资源资产管理情况</w:t>
            </w:r>
            <w:r>
              <w:rPr>
                <w:rFonts w:hint="eastAsia" w:ascii="仿宋" w:hAnsi="仿宋" w:eastAsia="仿宋" w:cs="仿宋"/>
                <w:sz w:val="21"/>
                <w:szCs w:val="21"/>
                <w:lang w:eastAsia="zh-CN"/>
              </w:rPr>
              <w:t>报告，</w:t>
            </w:r>
            <w:r>
              <w:rPr>
                <w:rFonts w:hint="eastAsia" w:ascii="仿宋" w:hAnsi="仿宋" w:eastAsia="仿宋" w:cs="仿宋"/>
                <w:i w:val="0"/>
                <w:caps w:val="0"/>
                <w:color w:val="000000"/>
                <w:spacing w:val="0"/>
                <w:kern w:val="0"/>
                <w:sz w:val="21"/>
                <w:szCs w:val="21"/>
                <w:shd w:val="clear" w:fill="FFFFFF"/>
                <w:vertAlign w:val="baseline"/>
                <w:lang w:val="en-US" w:eastAsia="zh-CN" w:bidi="ar"/>
              </w:rPr>
              <w:t>提出要</w:t>
            </w:r>
            <w:r>
              <w:rPr>
                <w:rFonts w:hint="eastAsia" w:ascii="仿宋" w:hAnsi="仿宋" w:eastAsia="仿宋" w:cs="仿宋"/>
                <w:sz w:val="21"/>
                <w:szCs w:val="21"/>
              </w:rPr>
              <w:t>加快完善国有资产管理体制机制，全面提升国企国资改革综合成效</w:t>
            </w:r>
            <w:r>
              <w:rPr>
                <w:rFonts w:hint="eastAsia" w:ascii="仿宋" w:hAnsi="仿宋" w:eastAsia="仿宋" w:cs="仿宋"/>
                <w:sz w:val="21"/>
                <w:szCs w:val="21"/>
                <w:lang w:eastAsia="zh-CN"/>
              </w:rPr>
              <w:t>，</w:t>
            </w:r>
            <w:r>
              <w:rPr>
                <w:rFonts w:hint="eastAsia" w:ascii="仿宋" w:hAnsi="仿宋" w:eastAsia="仿宋" w:cs="仿宋"/>
                <w:sz w:val="21"/>
                <w:szCs w:val="21"/>
              </w:rPr>
              <w:t>着力促进资产管理提质增效</w:t>
            </w:r>
            <w:r>
              <w:rPr>
                <w:rFonts w:hint="eastAsia" w:ascii="仿宋" w:hAnsi="仿宋" w:eastAsia="仿宋" w:cs="仿宋"/>
                <w:sz w:val="21"/>
                <w:szCs w:val="21"/>
                <w:lang w:eastAsia="zh-CN"/>
              </w:rPr>
              <w:t>，</w:t>
            </w:r>
            <w:r>
              <w:rPr>
                <w:rFonts w:hint="eastAsia" w:ascii="仿宋" w:hAnsi="仿宋" w:eastAsia="仿宋" w:cs="仿宋"/>
                <w:sz w:val="21"/>
                <w:szCs w:val="21"/>
              </w:rPr>
              <w:t>提高资源开发利用水平</w:t>
            </w:r>
            <w:r>
              <w:rPr>
                <w:rFonts w:hint="eastAsia" w:ascii="仿宋" w:hAnsi="仿宋" w:eastAsia="仿宋" w:cs="仿宋"/>
                <w:sz w:val="21"/>
                <w:szCs w:val="21"/>
                <w:lang w:eastAsia="zh-CN"/>
              </w:rPr>
              <w:t>等审议意见，</w:t>
            </w:r>
            <w:r>
              <w:rPr>
                <w:rFonts w:hint="eastAsia" w:ascii="仿宋" w:hAnsi="仿宋" w:eastAsia="仿宋" w:cs="仿宋"/>
                <w:i w:val="0"/>
                <w:caps w:val="0"/>
                <w:color w:val="000000"/>
                <w:spacing w:val="0"/>
                <w:kern w:val="0"/>
                <w:sz w:val="21"/>
                <w:szCs w:val="21"/>
                <w:shd w:val="clear" w:fill="FFFFFF"/>
                <w:vertAlign w:val="baseline"/>
                <w:lang w:val="en-US" w:eastAsia="zh-CN" w:bidi="ar"/>
              </w:rPr>
              <w:t>督促国有资产经营管理制度落实；</w:t>
            </w:r>
            <w:r>
              <w:rPr>
                <w:rFonts w:hint="eastAsia" w:ascii="仿宋" w:hAnsi="仿宋" w:eastAsia="仿宋" w:cs="仿宋"/>
                <w:color w:val="000000"/>
                <w:kern w:val="2"/>
                <w:sz w:val="21"/>
                <w:szCs w:val="21"/>
                <w:lang w:val="en-US" w:eastAsia="zh-CN" w:bidi="ar-SA"/>
              </w:rPr>
              <w:t>加强审计查出问题整改情况监督，</w:t>
            </w:r>
            <w:r>
              <w:rPr>
                <w:rFonts w:hint="eastAsia" w:ascii="仿宋" w:hAnsi="仿宋" w:eastAsia="仿宋" w:cs="仿宋"/>
                <w:i w:val="0"/>
                <w:caps w:val="0"/>
                <w:color w:val="000000"/>
                <w:spacing w:val="0"/>
                <w:kern w:val="0"/>
                <w:sz w:val="21"/>
                <w:szCs w:val="21"/>
                <w:shd w:val="clear" w:fill="FFFFFF"/>
                <w:vertAlign w:val="baseline"/>
                <w:lang w:val="en-US" w:eastAsia="zh-CN" w:bidi="ar"/>
              </w:rPr>
              <w:t>对</w:t>
            </w:r>
            <w:r>
              <w:rPr>
                <w:rFonts w:hint="eastAsia" w:ascii="仿宋" w:hAnsi="仿宋" w:eastAsia="仿宋" w:cs="仿宋"/>
                <w:color w:val="000000"/>
                <w:sz w:val="21"/>
                <w:szCs w:val="21"/>
                <w:lang w:val="en-US" w:eastAsia="zh-CN"/>
              </w:rPr>
              <w:t>五年来审计查出问题整改情况进行全面回查。</w:t>
            </w:r>
          </w:p>
          <w:p w14:paraId="411547B6">
            <w:pPr>
              <w:spacing w:line="320" w:lineRule="exact"/>
              <w:rPr>
                <w:rFonts w:eastAsia="楷体_GB2312"/>
              </w:rPr>
            </w:pPr>
          </w:p>
        </w:tc>
      </w:tr>
      <w:tr w14:paraId="5AD1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900" w:type="dxa"/>
            <w:vMerge w:val="continue"/>
            <w:vAlign w:val="center"/>
          </w:tcPr>
          <w:p w14:paraId="00BCF660">
            <w:pPr>
              <w:widowControl/>
              <w:jc w:val="left"/>
              <w:rPr>
                <w:rFonts w:eastAsia="楷体_GB2312"/>
              </w:rPr>
            </w:pPr>
          </w:p>
        </w:tc>
        <w:tc>
          <w:tcPr>
            <w:tcW w:w="1024" w:type="dxa"/>
            <w:vAlign w:val="center"/>
          </w:tcPr>
          <w:p w14:paraId="72E12803">
            <w:pPr>
              <w:spacing w:line="320" w:lineRule="exact"/>
              <w:jc w:val="center"/>
              <w:rPr>
                <w:rFonts w:ascii="楷体_GB2312" w:eastAsia="楷体_GB2312"/>
              </w:rPr>
            </w:pPr>
            <w:r>
              <w:rPr>
                <w:rFonts w:hint="eastAsia" w:ascii="楷体_GB2312" w:eastAsia="楷体_GB2312"/>
              </w:rPr>
              <w:t>社会</w:t>
            </w:r>
          </w:p>
          <w:p w14:paraId="20417AF2">
            <w:pPr>
              <w:spacing w:line="320" w:lineRule="exact"/>
              <w:jc w:val="center"/>
              <w:rPr>
                <w:rFonts w:ascii="楷体_GB2312" w:eastAsia="楷体_GB2312"/>
              </w:rPr>
            </w:pPr>
            <w:r>
              <w:rPr>
                <w:rFonts w:hint="eastAsia" w:ascii="楷体_GB2312" w:eastAsia="楷体_GB2312"/>
              </w:rPr>
              <w:t>效益</w:t>
            </w:r>
          </w:p>
          <w:p w14:paraId="7B0BFED8">
            <w:pPr>
              <w:spacing w:line="320" w:lineRule="exact"/>
              <w:jc w:val="center"/>
              <w:rPr>
                <w:rFonts w:eastAsia="楷体_GB2312"/>
              </w:rPr>
            </w:pPr>
            <w:r>
              <w:rPr>
                <w:rFonts w:hint="eastAsia" w:ascii="楷体_GB2312" w:eastAsia="楷体_GB2312"/>
              </w:rPr>
              <w:t>分析</w:t>
            </w:r>
          </w:p>
        </w:tc>
        <w:tc>
          <w:tcPr>
            <w:tcW w:w="6896" w:type="dxa"/>
            <w:gridSpan w:val="9"/>
            <w:vAlign w:val="top"/>
          </w:tcPr>
          <w:p w14:paraId="56E00911">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ightChars="0" w:firstLine="420" w:firstLineChars="200"/>
              <w:jc w:val="left"/>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坚持党的领导、人民当家作主、依法治国有机统一，切实增强“四个意识”，坚定“四个自信”，做到“两个维护”，坚决落实市委决策部署。充分发挥常委会党组把方向、管大局、促落实的作用，严格执行重大事项请示报告制度，做到整体工作自觉向市委请示、重要工作主动向市委报告、阶段工作及时向市委汇报。全年就换届选举、人代会等重要工作先后向市委请示报告5次，得到了市委的大力支持，确保了人大各项工作始终坚持党的领导、体现党的领导、实现党的领导。</w:t>
            </w:r>
          </w:p>
          <w:p w14:paraId="239727F6">
            <w:pPr>
              <w:spacing w:line="320" w:lineRule="exact"/>
              <w:jc w:val="left"/>
              <w:rPr>
                <w:rFonts w:eastAsia="楷体_GB2312"/>
              </w:rPr>
            </w:pPr>
          </w:p>
        </w:tc>
      </w:tr>
      <w:tr w14:paraId="03B9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900" w:type="dxa"/>
            <w:vMerge w:val="continue"/>
            <w:vAlign w:val="center"/>
          </w:tcPr>
          <w:p w14:paraId="02B0A247">
            <w:pPr>
              <w:widowControl/>
              <w:jc w:val="left"/>
              <w:rPr>
                <w:rFonts w:eastAsia="楷体_GB2312"/>
              </w:rPr>
            </w:pPr>
          </w:p>
        </w:tc>
        <w:tc>
          <w:tcPr>
            <w:tcW w:w="1024" w:type="dxa"/>
            <w:vAlign w:val="center"/>
          </w:tcPr>
          <w:p w14:paraId="32B1572B">
            <w:pPr>
              <w:spacing w:line="320" w:lineRule="exact"/>
              <w:jc w:val="center"/>
              <w:rPr>
                <w:rFonts w:ascii="楷体_GB2312" w:eastAsia="楷体_GB2312"/>
              </w:rPr>
            </w:pPr>
            <w:r>
              <w:rPr>
                <w:rFonts w:hint="eastAsia" w:ascii="楷体_GB2312" w:eastAsia="楷体_GB2312"/>
              </w:rPr>
              <w:t>项目</w:t>
            </w:r>
          </w:p>
          <w:p w14:paraId="55BEE93D">
            <w:pPr>
              <w:spacing w:line="320" w:lineRule="exact"/>
              <w:jc w:val="center"/>
              <w:rPr>
                <w:rFonts w:ascii="楷体_GB2312" w:eastAsia="楷体_GB2312"/>
              </w:rPr>
            </w:pPr>
            <w:r>
              <w:rPr>
                <w:rFonts w:hint="eastAsia" w:ascii="楷体_GB2312" w:eastAsia="楷体_GB2312"/>
              </w:rPr>
              <w:t>组织</w:t>
            </w:r>
          </w:p>
          <w:p w14:paraId="76B30898">
            <w:pPr>
              <w:spacing w:line="320" w:lineRule="exact"/>
              <w:jc w:val="center"/>
              <w:rPr>
                <w:rFonts w:ascii="楷体_GB2312" w:eastAsia="楷体_GB2312"/>
              </w:rPr>
            </w:pPr>
            <w:r>
              <w:rPr>
                <w:rFonts w:hint="eastAsia" w:ascii="楷体_GB2312" w:eastAsia="楷体_GB2312"/>
              </w:rPr>
              <w:t>管理</w:t>
            </w:r>
          </w:p>
          <w:p w14:paraId="607D003C">
            <w:pPr>
              <w:spacing w:line="320" w:lineRule="exact"/>
              <w:jc w:val="center"/>
              <w:rPr>
                <w:rFonts w:eastAsia="楷体_GB2312"/>
              </w:rPr>
            </w:pPr>
            <w:r>
              <w:rPr>
                <w:rFonts w:hint="eastAsia" w:ascii="楷体_GB2312" w:eastAsia="楷体_GB2312"/>
              </w:rPr>
              <w:t>情况</w:t>
            </w:r>
          </w:p>
        </w:tc>
        <w:tc>
          <w:tcPr>
            <w:tcW w:w="6896" w:type="dxa"/>
            <w:gridSpan w:val="9"/>
          </w:tcPr>
          <w:p w14:paraId="3CB9D909">
            <w:pPr>
              <w:spacing w:line="320" w:lineRule="exact"/>
              <w:rPr>
                <w:rFonts w:eastAsia="楷体_GB2312"/>
              </w:rPr>
            </w:pPr>
            <w:r>
              <w:rPr>
                <w:rFonts w:hint="eastAsia" w:ascii="仿宋_GB2312" w:hAnsi="仿宋_GB2312" w:eastAsia="仿宋_GB2312" w:cs="仿宋_GB2312"/>
                <w:color w:val="333333"/>
                <w:sz w:val="21"/>
                <w:szCs w:val="21"/>
                <w:shd w:val="clear" w:color="auto" w:fill="FFFFFF"/>
              </w:rPr>
              <w:t>人大会议经费</w:t>
            </w:r>
            <w:r>
              <w:rPr>
                <w:rFonts w:hint="eastAsia" w:ascii="仿宋_GB2312" w:hAnsi="仿宋_GB2312" w:eastAsia="仿宋_GB2312" w:cs="仿宋_GB2312"/>
                <w:color w:val="333333"/>
                <w:sz w:val="21"/>
                <w:szCs w:val="21"/>
                <w:shd w:val="clear" w:color="auto" w:fill="FFFFFF"/>
                <w:lang w:val="en-US" w:eastAsia="zh-CN"/>
              </w:rPr>
              <w:t>80</w:t>
            </w:r>
            <w:r>
              <w:rPr>
                <w:rFonts w:hint="eastAsia" w:ascii="仿宋_GB2312" w:hAnsi="仿宋_GB2312" w:eastAsia="仿宋_GB2312" w:cs="仿宋_GB2312"/>
                <w:color w:val="333333"/>
                <w:sz w:val="21"/>
                <w:szCs w:val="21"/>
                <w:shd w:val="clear" w:color="auto" w:fill="FFFFFF"/>
              </w:rPr>
              <w:t>万元，用于十届人大</w:t>
            </w:r>
            <w:r>
              <w:rPr>
                <w:rFonts w:hint="eastAsia" w:ascii="仿宋_GB2312" w:hAnsi="仿宋_GB2312" w:eastAsia="仿宋_GB2312" w:cs="仿宋_GB2312"/>
                <w:color w:val="333333"/>
                <w:sz w:val="21"/>
                <w:szCs w:val="21"/>
                <w:shd w:val="clear" w:color="auto" w:fill="FFFFFF"/>
                <w:lang w:eastAsia="zh-CN"/>
              </w:rPr>
              <w:t>七</w:t>
            </w:r>
            <w:r>
              <w:rPr>
                <w:rFonts w:hint="eastAsia" w:ascii="仿宋_GB2312" w:hAnsi="仿宋_GB2312" w:eastAsia="仿宋_GB2312" w:cs="仿宋_GB2312"/>
                <w:color w:val="333333"/>
                <w:sz w:val="21"/>
                <w:szCs w:val="21"/>
                <w:shd w:val="clear" w:color="auto" w:fill="FFFFFF"/>
              </w:rPr>
              <w:t>次、</w:t>
            </w:r>
            <w:r>
              <w:rPr>
                <w:rFonts w:hint="eastAsia" w:ascii="仿宋_GB2312" w:hAnsi="仿宋_GB2312" w:eastAsia="仿宋_GB2312" w:cs="仿宋_GB2312"/>
                <w:color w:val="333333"/>
                <w:sz w:val="21"/>
                <w:szCs w:val="21"/>
                <w:shd w:val="clear" w:color="auto" w:fill="FFFFFF"/>
                <w:lang w:eastAsia="zh-CN"/>
              </w:rPr>
              <w:t>八</w:t>
            </w:r>
            <w:r>
              <w:rPr>
                <w:rFonts w:hint="eastAsia" w:ascii="仿宋_GB2312" w:hAnsi="仿宋_GB2312" w:eastAsia="仿宋_GB2312" w:cs="仿宋_GB2312"/>
                <w:color w:val="333333"/>
                <w:sz w:val="21"/>
                <w:szCs w:val="21"/>
                <w:shd w:val="clear" w:color="auto" w:fill="FFFFFF"/>
              </w:rPr>
              <w:t>次会议工作的项目支出，包括会议食宿、农村代表误工补助、代表履职费、印刷费、办公费、杂费等方面以及相关的主任会议、常委会会议支出。实施项目过程执行相关的管理制度。实施过程中按照实际发生的业务量支付。结合资金情况，规范填写凭证,并加强凭证审核力度;加强专款管理，做到专款专用；重点围绕财务制度的执行情况、资金的使用情况加强内部审计工作，促使财务支出的真实性、合理合法性和实效性</w:t>
            </w:r>
            <w:r>
              <w:rPr>
                <w:rFonts w:hint="eastAsia" w:ascii="仿宋_GB2312" w:hAnsi="仿宋_GB2312" w:eastAsia="仿宋_GB2312" w:cs="仿宋_GB2312"/>
                <w:sz w:val="21"/>
                <w:szCs w:val="21"/>
              </w:rPr>
              <w:t>。</w:t>
            </w:r>
          </w:p>
        </w:tc>
      </w:tr>
      <w:tr w14:paraId="3330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trPr>
        <w:tc>
          <w:tcPr>
            <w:tcW w:w="900" w:type="dxa"/>
            <w:vMerge w:val="continue"/>
            <w:vAlign w:val="center"/>
          </w:tcPr>
          <w:p w14:paraId="62D18A74">
            <w:pPr>
              <w:widowControl/>
              <w:jc w:val="left"/>
              <w:rPr>
                <w:rFonts w:eastAsia="楷体_GB2312"/>
              </w:rPr>
            </w:pPr>
          </w:p>
        </w:tc>
        <w:tc>
          <w:tcPr>
            <w:tcW w:w="1024" w:type="dxa"/>
            <w:vAlign w:val="center"/>
          </w:tcPr>
          <w:p w14:paraId="59B58C51">
            <w:pPr>
              <w:spacing w:line="320" w:lineRule="exact"/>
              <w:jc w:val="center"/>
              <w:rPr>
                <w:rFonts w:eastAsia="楷体_GB2312"/>
              </w:rPr>
            </w:pPr>
            <w:r>
              <w:rPr>
                <w:rFonts w:hint="eastAsia" w:ascii="楷体_GB2312" w:eastAsia="楷体_GB2312"/>
              </w:rPr>
              <w:t>项目</w:t>
            </w:r>
          </w:p>
          <w:p w14:paraId="5C2F35E4">
            <w:pPr>
              <w:spacing w:line="320" w:lineRule="exact"/>
              <w:jc w:val="center"/>
              <w:rPr>
                <w:rFonts w:ascii="楷体_GB2312" w:eastAsia="楷体_GB2312"/>
              </w:rPr>
            </w:pPr>
            <w:r>
              <w:rPr>
                <w:rFonts w:hint="eastAsia" w:ascii="楷体_GB2312" w:eastAsia="楷体_GB2312"/>
              </w:rPr>
              <w:t>财务</w:t>
            </w:r>
          </w:p>
          <w:p w14:paraId="5E0D990C">
            <w:pPr>
              <w:spacing w:line="320" w:lineRule="exact"/>
              <w:jc w:val="center"/>
              <w:rPr>
                <w:rFonts w:ascii="楷体_GB2312" w:eastAsia="楷体_GB2312"/>
              </w:rPr>
            </w:pPr>
            <w:r>
              <w:rPr>
                <w:rFonts w:hint="eastAsia" w:ascii="楷体_GB2312" w:eastAsia="楷体_GB2312"/>
              </w:rPr>
              <w:t>管理</w:t>
            </w:r>
          </w:p>
          <w:p w14:paraId="22076ECD">
            <w:pPr>
              <w:spacing w:line="320" w:lineRule="exact"/>
              <w:jc w:val="center"/>
              <w:rPr>
                <w:rFonts w:eastAsia="楷体_GB2312"/>
              </w:rPr>
            </w:pPr>
            <w:r>
              <w:rPr>
                <w:rFonts w:hint="eastAsia" w:ascii="楷体_GB2312" w:eastAsia="楷体_GB2312"/>
              </w:rPr>
              <w:t>情况</w:t>
            </w:r>
          </w:p>
        </w:tc>
        <w:tc>
          <w:tcPr>
            <w:tcW w:w="6896" w:type="dxa"/>
            <w:gridSpan w:val="9"/>
          </w:tcPr>
          <w:p w14:paraId="72FDEE72">
            <w:pPr>
              <w:spacing w:line="320" w:lineRule="exact"/>
              <w:rPr>
                <w:rFonts w:eastAsia="楷体_GB2312"/>
              </w:rPr>
            </w:pPr>
            <w:r>
              <w:rPr>
                <w:rFonts w:hint="eastAsia" w:ascii="仿宋_GB2312" w:hAnsi="仿宋_GB2312" w:eastAsia="仿宋_GB2312" w:cs="仿宋_GB2312"/>
                <w:color w:val="000000"/>
                <w:sz w:val="21"/>
                <w:szCs w:val="21"/>
                <w:shd w:val="clear" w:color="auto" w:fill="FFFFFF"/>
              </w:rPr>
              <w:t>按照相关财务制度，严格审核，规范执行，在相关结算过程中，严格执行财务管理制度，并按要求报送市国库集中支付局进行审核，无违规违法问题存在</w:t>
            </w:r>
            <w:r>
              <w:rPr>
                <w:rFonts w:hint="eastAsia" w:ascii="仿宋_GB2312" w:hAnsi="仿宋_GB2312" w:eastAsia="仿宋_GB2312" w:cs="仿宋_GB2312"/>
                <w:color w:val="000000"/>
                <w:sz w:val="21"/>
                <w:szCs w:val="21"/>
                <w:shd w:val="clear" w:color="auto" w:fill="FFFFFF"/>
                <w:lang w:eastAsia="zh-CN"/>
              </w:rPr>
              <w:t>，</w:t>
            </w:r>
            <w:r>
              <w:rPr>
                <w:rFonts w:hint="eastAsia" w:ascii="仿宋_GB2312" w:hAnsi="仿宋_GB2312" w:eastAsia="仿宋_GB2312" w:cs="仿宋_GB2312"/>
                <w:sz w:val="21"/>
                <w:szCs w:val="21"/>
              </w:rPr>
              <w:t>确保会议费资金使用管理规范、有效</w:t>
            </w:r>
            <w:r>
              <w:rPr>
                <w:rFonts w:hint="eastAsia" w:ascii="仿宋_GB2312" w:hAnsi="仿宋_GB2312" w:eastAsia="仿宋_GB2312" w:cs="仿宋_GB2312"/>
                <w:sz w:val="24"/>
                <w:szCs w:val="24"/>
              </w:rPr>
              <w:t>。</w:t>
            </w:r>
          </w:p>
        </w:tc>
      </w:tr>
      <w:tr w14:paraId="77D5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trPr>
        <w:tc>
          <w:tcPr>
            <w:tcW w:w="900" w:type="dxa"/>
            <w:vMerge w:val="continue"/>
            <w:vAlign w:val="center"/>
          </w:tcPr>
          <w:p w14:paraId="1DAD286D">
            <w:pPr>
              <w:widowControl/>
              <w:jc w:val="left"/>
              <w:rPr>
                <w:rFonts w:eastAsia="楷体_GB2312"/>
              </w:rPr>
            </w:pPr>
          </w:p>
        </w:tc>
        <w:tc>
          <w:tcPr>
            <w:tcW w:w="1024" w:type="dxa"/>
            <w:vAlign w:val="center"/>
          </w:tcPr>
          <w:p w14:paraId="21289C74">
            <w:pPr>
              <w:spacing w:line="320" w:lineRule="exact"/>
              <w:jc w:val="center"/>
              <w:rPr>
                <w:rFonts w:ascii="楷体_GB2312" w:eastAsia="楷体_GB2312"/>
              </w:rPr>
            </w:pPr>
            <w:r>
              <w:rPr>
                <w:rFonts w:hint="eastAsia" w:ascii="楷体_GB2312" w:eastAsia="楷体_GB2312"/>
              </w:rPr>
              <w:t>总结经验及存在问题</w:t>
            </w:r>
          </w:p>
          <w:p w14:paraId="1F42F36E">
            <w:pPr>
              <w:spacing w:line="320" w:lineRule="exact"/>
              <w:jc w:val="center"/>
              <w:rPr>
                <w:rFonts w:eastAsia="楷体_GB2312"/>
              </w:rPr>
            </w:pPr>
            <w:r>
              <w:rPr>
                <w:rFonts w:hint="eastAsia" w:ascii="楷体_GB2312" w:eastAsia="楷体_GB2312"/>
              </w:rPr>
              <w:t>分析</w:t>
            </w:r>
          </w:p>
        </w:tc>
        <w:tc>
          <w:tcPr>
            <w:tcW w:w="6896" w:type="dxa"/>
            <w:gridSpan w:val="9"/>
          </w:tcPr>
          <w:p w14:paraId="479C421C">
            <w:pPr>
              <w:spacing w:line="320" w:lineRule="exact"/>
              <w:rPr>
                <w:rFonts w:eastAsia="楷体_GB2312"/>
              </w:rPr>
            </w:pPr>
            <w:r>
              <w:rPr>
                <w:rFonts w:hint="eastAsia" w:ascii="仿宋_GB2312" w:hAnsi="仿宋_GB2312" w:eastAsia="仿宋_GB2312" w:cs="仿宋_GB2312"/>
                <w:color w:val="000000"/>
                <w:sz w:val="21"/>
                <w:szCs w:val="21"/>
                <w:shd w:val="clear" w:color="auto" w:fill="FFFFFF"/>
              </w:rPr>
              <w:t>本项目主要是会议费支出，项目的意义非常重大，但由于每年的会议召开都在年初，无法在本年度预算中体现，多年来的支出模式是上年度下达本年度人代会指标，导致每年度的人代会专项均为上年结转数据。同时，由于会议费在预算下达之前，多数支出由本单位其他经费垫支，因此无法单就指标支出明细掌握项目支出的具体情况。</w:t>
            </w:r>
          </w:p>
        </w:tc>
      </w:tr>
      <w:tr w14:paraId="5219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900" w:type="dxa"/>
            <w:vMerge w:val="continue"/>
            <w:vAlign w:val="center"/>
          </w:tcPr>
          <w:p w14:paraId="6BF1369B">
            <w:pPr>
              <w:widowControl/>
              <w:jc w:val="left"/>
              <w:rPr>
                <w:rFonts w:eastAsia="楷体_GB2312"/>
              </w:rPr>
            </w:pPr>
          </w:p>
        </w:tc>
        <w:tc>
          <w:tcPr>
            <w:tcW w:w="1024" w:type="dxa"/>
          </w:tcPr>
          <w:p w14:paraId="51782E88">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NewRoman" w:hAnsi="TimesNewRoman" w:cs="Times New Roman"/>
                <w:sz w:val="11"/>
                <w:szCs w:val="11"/>
              </w:rPr>
            </w:pPr>
            <w:r>
              <w:rPr>
                <w:rFonts w:hint="eastAsia" w:eastAsia="楷体_GB2312"/>
                <w:sz w:val="11"/>
                <w:szCs w:val="15"/>
              </w:rPr>
              <w:t>评分：                            等级：</w:t>
            </w:r>
          </w:p>
          <w:p w14:paraId="698B385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ind w:firstLine="165" w:firstLineChars="150"/>
              <w:textAlignment w:val="auto"/>
              <w:rPr>
                <w:rFonts w:eastAsia="楷体_GB2312"/>
                <w:sz w:val="15"/>
                <w:szCs w:val="15"/>
              </w:rPr>
            </w:pPr>
            <w:r>
              <w:rPr>
                <w:rFonts w:hint="eastAsia" w:ascii="TimesNewRoman" w:hAnsi="TimesNewRoman" w:cs="Times New Roman"/>
                <w:sz w:val="11"/>
                <w:szCs w:val="11"/>
              </w:rPr>
              <w:t>备注：</w:t>
            </w:r>
            <w:r>
              <w:rPr>
                <w:rFonts w:ascii="TimesNewRoman" w:hAnsi="TimesNewRoman" w:cs="Times New Roman"/>
                <w:sz w:val="11"/>
                <w:szCs w:val="11"/>
              </w:rPr>
              <w:t>90</w:t>
            </w:r>
            <w:r>
              <w:rPr>
                <w:rFonts w:hint="eastAsia" w:ascii="仿宋_GB2312" w:eastAsia="仿宋_GB2312" w:cs="Times New Roman"/>
                <w:sz w:val="11"/>
                <w:szCs w:val="11"/>
              </w:rPr>
              <w:t>（含）—</w:t>
            </w:r>
            <w:r>
              <w:rPr>
                <w:rFonts w:ascii="TimesNewRoman" w:hAnsi="TimesNewRoman" w:cs="Times New Roman"/>
                <w:sz w:val="11"/>
                <w:szCs w:val="11"/>
              </w:rPr>
              <w:t>100</w:t>
            </w:r>
            <w:r>
              <w:rPr>
                <w:rFonts w:hint="eastAsia" w:ascii="仿宋_GB2312" w:eastAsia="仿宋_GB2312" w:cs="Times New Roman"/>
                <w:sz w:val="11"/>
                <w:szCs w:val="11"/>
              </w:rPr>
              <w:t>分为优；</w:t>
            </w:r>
            <w:r>
              <w:rPr>
                <w:rFonts w:ascii="TimesNewRoman" w:hAnsi="TimesNewRoman" w:cs="Times New Roman"/>
                <w:sz w:val="11"/>
                <w:szCs w:val="11"/>
              </w:rPr>
              <w:t>80</w:t>
            </w:r>
            <w:r>
              <w:rPr>
                <w:rFonts w:hint="eastAsia" w:ascii="仿宋_GB2312" w:eastAsia="仿宋_GB2312" w:cs="Times New Roman"/>
                <w:sz w:val="11"/>
                <w:szCs w:val="11"/>
              </w:rPr>
              <w:t>（含）—</w:t>
            </w:r>
            <w:r>
              <w:rPr>
                <w:rFonts w:ascii="TimesNewRoman" w:hAnsi="TimesNewRoman" w:cs="Times New Roman"/>
                <w:sz w:val="11"/>
                <w:szCs w:val="11"/>
              </w:rPr>
              <w:t>90</w:t>
            </w:r>
            <w:r>
              <w:rPr>
                <w:rFonts w:hint="eastAsia" w:ascii="仿宋_GB2312" w:eastAsia="仿宋_GB2312" w:cs="Times New Roman"/>
                <w:sz w:val="11"/>
                <w:szCs w:val="11"/>
              </w:rPr>
              <w:t>分为良；</w:t>
            </w:r>
            <w:r>
              <w:rPr>
                <w:rFonts w:ascii="TimesNewRoman" w:hAnsi="TimesNewRoman" w:cs="Times New Roman"/>
                <w:sz w:val="11"/>
                <w:szCs w:val="11"/>
              </w:rPr>
              <w:t xml:space="preserve"> 60</w:t>
            </w:r>
            <w:r>
              <w:rPr>
                <w:rFonts w:hint="eastAsia" w:ascii="仿宋_GB2312" w:eastAsia="仿宋_GB2312" w:cs="Times New Roman"/>
                <w:sz w:val="11"/>
                <w:szCs w:val="11"/>
              </w:rPr>
              <w:t>（含）—</w:t>
            </w:r>
            <w:r>
              <w:rPr>
                <w:rFonts w:ascii="TimesNewRoman" w:hAnsi="TimesNewRoman" w:cs="Times New Roman"/>
                <w:sz w:val="11"/>
                <w:szCs w:val="11"/>
              </w:rPr>
              <w:t>80</w:t>
            </w:r>
            <w:r>
              <w:rPr>
                <w:rFonts w:hint="eastAsia" w:ascii="仿宋_GB2312" w:eastAsia="仿宋_GB2312" w:cs="Times New Roman"/>
                <w:sz w:val="11"/>
                <w:szCs w:val="11"/>
              </w:rPr>
              <w:t xml:space="preserve"> 分为较差；</w:t>
            </w:r>
            <w:r>
              <w:rPr>
                <w:rFonts w:ascii="TimesNewRoman" w:hAnsi="TimesNewRoman" w:cs="Times New Roman"/>
                <w:sz w:val="11"/>
                <w:szCs w:val="11"/>
              </w:rPr>
              <w:t>60</w:t>
            </w:r>
            <w:r>
              <w:rPr>
                <w:rFonts w:hint="eastAsia" w:ascii="仿宋_GB2312" w:eastAsia="仿宋_GB2312" w:cs="Times New Roman"/>
                <w:sz w:val="11"/>
                <w:szCs w:val="11"/>
              </w:rPr>
              <w:t>分以下为差。</w:t>
            </w:r>
          </w:p>
        </w:tc>
        <w:tc>
          <w:tcPr>
            <w:tcW w:w="6896" w:type="dxa"/>
            <w:gridSpan w:val="9"/>
          </w:tcPr>
          <w:p w14:paraId="5FE56450">
            <w:pPr>
              <w:spacing w:line="320" w:lineRule="exact"/>
              <w:rPr>
                <w:rFonts w:hint="eastAsia" w:eastAsia="楷体_GB2312"/>
                <w:lang w:eastAsia="zh-CN"/>
              </w:rPr>
            </w:pPr>
            <w:r>
              <w:rPr>
                <w:rFonts w:hint="eastAsia" w:eastAsia="楷体_GB2312"/>
                <w:lang w:eastAsia="zh-CN"/>
              </w:rPr>
              <w:t>优</w:t>
            </w:r>
          </w:p>
        </w:tc>
      </w:tr>
      <w:tr w14:paraId="4C8F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trPr>
        <w:tc>
          <w:tcPr>
            <w:tcW w:w="900" w:type="dxa"/>
            <w:vAlign w:val="center"/>
          </w:tcPr>
          <w:p w14:paraId="3420B5D5">
            <w:pPr>
              <w:spacing w:line="320" w:lineRule="exact"/>
              <w:jc w:val="center"/>
              <w:rPr>
                <w:rFonts w:eastAsia="楷体_GB2312"/>
                <w:sz w:val="24"/>
              </w:rPr>
            </w:pPr>
            <w:r>
              <w:rPr>
                <w:rFonts w:hint="eastAsia" w:ascii="楷体_GB2312" w:eastAsia="楷体_GB2312"/>
                <w:sz w:val="24"/>
              </w:rPr>
              <w:t>自</w:t>
            </w:r>
          </w:p>
          <w:p w14:paraId="27007E69">
            <w:pPr>
              <w:spacing w:line="320" w:lineRule="exact"/>
              <w:jc w:val="center"/>
              <w:rPr>
                <w:rFonts w:ascii="楷体_GB2312" w:eastAsia="楷体_GB2312"/>
                <w:sz w:val="24"/>
              </w:rPr>
            </w:pPr>
            <w:r>
              <w:rPr>
                <w:rFonts w:hint="eastAsia" w:ascii="楷体_GB2312" w:eastAsia="楷体_GB2312"/>
                <w:sz w:val="24"/>
              </w:rPr>
              <w:t>评</w:t>
            </w:r>
          </w:p>
          <w:p w14:paraId="3A2554C6">
            <w:pPr>
              <w:spacing w:line="320" w:lineRule="exact"/>
              <w:jc w:val="center"/>
              <w:rPr>
                <w:rFonts w:ascii="楷体_GB2312" w:eastAsia="楷体_GB2312"/>
                <w:sz w:val="24"/>
              </w:rPr>
            </w:pPr>
            <w:r>
              <w:rPr>
                <w:rFonts w:hint="eastAsia" w:ascii="楷体_GB2312" w:eastAsia="楷体_GB2312"/>
                <w:sz w:val="24"/>
              </w:rPr>
              <w:t>结</w:t>
            </w:r>
          </w:p>
          <w:p w14:paraId="5DADB445">
            <w:pPr>
              <w:spacing w:line="320" w:lineRule="exact"/>
              <w:jc w:val="center"/>
              <w:rPr>
                <w:rFonts w:eastAsia="楷体_GB2312"/>
                <w:sz w:val="24"/>
              </w:rPr>
            </w:pPr>
            <w:r>
              <w:rPr>
                <w:rFonts w:hint="eastAsia" w:ascii="楷体_GB2312" w:eastAsia="楷体_GB2312"/>
                <w:sz w:val="24"/>
              </w:rPr>
              <w:t>论</w:t>
            </w:r>
          </w:p>
        </w:tc>
        <w:tc>
          <w:tcPr>
            <w:tcW w:w="7920" w:type="dxa"/>
            <w:gridSpan w:val="10"/>
          </w:tcPr>
          <w:p w14:paraId="7C9CCAAD">
            <w:pPr>
              <w:spacing w:line="320" w:lineRule="exact"/>
              <w:rPr>
                <w:rFonts w:eastAsia="楷体_GB2312" w:cs="Times New Roman"/>
              </w:rPr>
            </w:pPr>
            <w:r>
              <w:rPr>
                <w:rFonts w:ascii="??_GB2312" w:eastAsia="Times New Roman" w:cs="Times New Roman"/>
                <w:sz w:val="24"/>
                <w:szCs w:val="24"/>
              </w:rPr>
              <w:t>评分</w:t>
            </w:r>
            <w:r>
              <w:rPr>
                <w:rFonts w:ascii="??_GB2312" w:eastAsia="Times New Roman" w:cs="??_GB2312"/>
                <w:sz w:val="24"/>
                <w:szCs w:val="24"/>
              </w:rPr>
              <w:t>9</w:t>
            </w:r>
            <w:r>
              <w:rPr>
                <w:rFonts w:hint="eastAsia" w:ascii="??_GB2312" w:cs="??_GB2312"/>
                <w:sz w:val="24"/>
                <w:szCs w:val="24"/>
                <w:lang w:val="en-US" w:eastAsia="zh-CN"/>
              </w:rPr>
              <w:t>6</w:t>
            </w:r>
            <w:r>
              <w:rPr>
                <w:rFonts w:ascii="??_GB2312" w:eastAsia="Times New Roman" w:cs="Times New Roman"/>
                <w:sz w:val="24"/>
                <w:szCs w:val="24"/>
              </w:rPr>
              <w:t>分</w:t>
            </w:r>
          </w:p>
        </w:tc>
      </w:tr>
      <w:tr w14:paraId="47F5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00" w:type="dxa"/>
            <w:vAlign w:val="center"/>
          </w:tcPr>
          <w:p w14:paraId="168402A0">
            <w:pPr>
              <w:spacing w:line="320" w:lineRule="exact"/>
              <w:jc w:val="center"/>
              <w:rPr>
                <w:rFonts w:eastAsia="楷体_GB2312"/>
                <w:sz w:val="24"/>
              </w:rPr>
            </w:pPr>
            <w:r>
              <w:rPr>
                <w:rFonts w:hint="eastAsia" w:ascii="楷体_GB2312" w:eastAsia="楷体_GB2312"/>
                <w:sz w:val="24"/>
              </w:rPr>
              <w:t>有</w:t>
            </w:r>
          </w:p>
          <w:p w14:paraId="3E9F3FD3">
            <w:pPr>
              <w:spacing w:line="320" w:lineRule="exact"/>
              <w:jc w:val="center"/>
              <w:rPr>
                <w:rFonts w:ascii="楷体_GB2312" w:eastAsia="楷体_GB2312"/>
                <w:sz w:val="24"/>
              </w:rPr>
            </w:pPr>
            <w:r>
              <w:rPr>
                <w:rFonts w:hint="eastAsia" w:ascii="楷体_GB2312" w:eastAsia="楷体_GB2312"/>
                <w:sz w:val="24"/>
              </w:rPr>
              <w:t>关</w:t>
            </w:r>
          </w:p>
          <w:p w14:paraId="22511238">
            <w:pPr>
              <w:spacing w:line="320" w:lineRule="exact"/>
              <w:jc w:val="center"/>
              <w:rPr>
                <w:rFonts w:ascii="楷体_GB2312" w:eastAsia="楷体_GB2312"/>
                <w:sz w:val="24"/>
              </w:rPr>
            </w:pPr>
            <w:r>
              <w:rPr>
                <w:rFonts w:hint="eastAsia" w:ascii="楷体_GB2312" w:eastAsia="楷体_GB2312"/>
                <w:sz w:val="24"/>
              </w:rPr>
              <w:t>建</w:t>
            </w:r>
          </w:p>
          <w:p w14:paraId="3DF27BAF">
            <w:pPr>
              <w:spacing w:line="320" w:lineRule="exact"/>
              <w:jc w:val="center"/>
              <w:rPr>
                <w:rFonts w:eastAsia="楷体_GB2312"/>
                <w:sz w:val="24"/>
              </w:rPr>
            </w:pPr>
            <w:r>
              <w:rPr>
                <w:rFonts w:hint="eastAsia" w:ascii="楷体_GB2312" w:eastAsia="楷体_GB2312"/>
                <w:sz w:val="24"/>
              </w:rPr>
              <w:t>议</w:t>
            </w:r>
          </w:p>
        </w:tc>
        <w:tc>
          <w:tcPr>
            <w:tcW w:w="7920" w:type="dxa"/>
            <w:gridSpan w:val="10"/>
            <w:vAlign w:val="center"/>
          </w:tcPr>
          <w:p w14:paraId="13A45DAA">
            <w:pPr>
              <w:spacing w:line="320" w:lineRule="exact"/>
              <w:jc w:val="both"/>
              <w:rPr>
                <w:rFonts w:eastAsia="楷体_GB2312"/>
              </w:rPr>
            </w:pPr>
            <w:r>
              <w:rPr>
                <w:rFonts w:hint="eastAsia" w:ascii="仿宋_GB2312" w:hAnsi="仿宋_GB2312" w:eastAsia="仿宋_GB2312" w:cs="仿宋_GB2312"/>
              </w:rPr>
              <w:t>加强绩效管理学习，包括领导及相关业务人员都应加强对全面预算绩效管理的重视程度，增强财政资金绩效考评意识，坚持先有预算、后有支出，有支出必有结果，有结果需考评效率、效益的财政资金使用模式，逐步推进财政资金绩效管理全覆盖。</w:t>
            </w:r>
          </w:p>
        </w:tc>
      </w:tr>
      <w:tr w14:paraId="7E08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900" w:type="dxa"/>
            <w:vMerge w:val="restart"/>
            <w:vAlign w:val="center"/>
          </w:tcPr>
          <w:p w14:paraId="040B3A86">
            <w:pPr>
              <w:spacing w:line="320" w:lineRule="exact"/>
              <w:jc w:val="center"/>
              <w:rPr>
                <w:rFonts w:eastAsia="楷体_GB2312"/>
                <w:sz w:val="24"/>
              </w:rPr>
            </w:pPr>
            <w:r>
              <w:rPr>
                <w:rFonts w:hint="eastAsia" w:ascii="楷体_GB2312" w:eastAsia="楷体_GB2312"/>
                <w:sz w:val="24"/>
              </w:rPr>
              <w:t>评</w:t>
            </w:r>
          </w:p>
          <w:p w14:paraId="384EA47C">
            <w:pPr>
              <w:spacing w:line="320" w:lineRule="exact"/>
              <w:jc w:val="center"/>
              <w:rPr>
                <w:rFonts w:ascii="楷体_GB2312" w:eastAsia="楷体_GB2312"/>
                <w:sz w:val="24"/>
              </w:rPr>
            </w:pPr>
            <w:r>
              <w:rPr>
                <w:rFonts w:hint="eastAsia" w:ascii="楷体_GB2312" w:eastAsia="楷体_GB2312"/>
                <w:sz w:val="24"/>
              </w:rPr>
              <w:t>价</w:t>
            </w:r>
          </w:p>
          <w:p w14:paraId="446C9586">
            <w:pPr>
              <w:spacing w:line="320" w:lineRule="exact"/>
              <w:jc w:val="center"/>
              <w:rPr>
                <w:rFonts w:ascii="楷体_GB2312" w:eastAsia="楷体_GB2312"/>
                <w:sz w:val="24"/>
              </w:rPr>
            </w:pPr>
            <w:r>
              <w:rPr>
                <w:rFonts w:hint="eastAsia" w:ascii="楷体_GB2312" w:eastAsia="楷体_GB2312"/>
                <w:sz w:val="24"/>
              </w:rPr>
              <w:t>人</w:t>
            </w:r>
          </w:p>
          <w:p w14:paraId="3DD731F4">
            <w:pPr>
              <w:spacing w:line="320" w:lineRule="exact"/>
              <w:jc w:val="center"/>
              <w:rPr>
                <w:rFonts w:eastAsia="楷体_GB2312"/>
                <w:sz w:val="24"/>
              </w:rPr>
            </w:pPr>
            <w:r>
              <w:rPr>
                <w:rFonts w:hint="eastAsia" w:ascii="楷体_GB2312" w:eastAsia="楷体_GB2312"/>
                <w:sz w:val="24"/>
              </w:rPr>
              <w:t>员</w:t>
            </w:r>
          </w:p>
        </w:tc>
        <w:tc>
          <w:tcPr>
            <w:tcW w:w="1356" w:type="dxa"/>
            <w:gridSpan w:val="2"/>
          </w:tcPr>
          <w:p w14:paraId="05F610A2">
            <w:pPr>
              <w:spacing w:line="320" w:lineRule="exact"/>
              <w:rPr>
                <w:rFonts w:hint="eastAsia" w:eastAsia="楷体_GB2312"/>
                <w:sz w:val="24"/>
                <w:lang w:eastAsia="zh-CN"/>
              </w:rPr>
            </w:pPr>
            <w:r>
              <w:rPr>
                <w:rFonts w:hint="eastAsia" w:eastAsia="楷体_GB2312"/>
                <w:sz w:val="24"/>
                <w:lang w:eastAsia="zh-CN"/>
              </w:rPr>
              <w:t>姓名</w:t>
            </w:r>
          </w:p>
        </w:tc>
        <w:tc>
          <w:tcPr>
            <w:tcW w:w="2192" w:type="dxa"/>
            <w:gridSpan w:val="4"/>
            <w:vAlign w:val="center"/>
          </w:tcPr>
          <w:p w14:paraId="7971C24F">
            <w:pPr>
              <w:spacing w:line="320" w:lineRule="exact"/>
              <w:jc w:val="center"/>
              <w:rPr>
                <w:rFonts w:eastAsia="楷体_GB2312"/>
                <w:sz w:val="24"/>
              </w:rPr>
            </w:pPr>
            <w:r>
              <w:rPr>
                <w:rFonts w:hint="eastAsia" w:ascii="楷体_GB2312" w:eastAsia="楷体_GB2312"/>
                <w:sz w:val="24"/>
              </w:rPr>
              <w:t>职称</w:t>
            </w:r>
            <w:r>
              <w:rPr>
                <w:rFonts w:hint="eastAsia" w:eastAsia="楷体_GB2312"/>
                <w:sz w:val="24"/>
              </w:rPr>
              <w:t>/</w:t>
            </w:r>
            <w:r>
              <w:rPr>
                <w:rFonts w:hint="eastAsia" w:ascii="楷体_GB2312" w:eastAsia="楷体_GB2312"/>
                <w:sz w:val="24"/>
              </w:rPr>
              <w:t>职务</w:t>
            </w:r>
          </w:p>
        </w:tc>
        <w:tc>
          <w:tcPr>
            <w:tcW w:w="1768" w:type="dxa"/>
            <w:gridSpan w:val="2"/>
            <w:vAlign w:val="center"/>
          </w:tcPr>
          <w:p w14:paraId="761EB1A4">
            <w:pPr>
              <w:spacing w:line="320" w:lineRule="exact"/>
              <w:jc w:val="center"/>
              <w:rPr>
                <w:rFonts w:eastAsia="楷体_GB2312"/>
                <w:sz w:val="24"/>
              </w:rPr>
            </w:pPr>
            <w:r>
              <w:rPr>
                <w:rFonts w:hint="eastAsia" w:ascii="楷体_GB2312" w:eastAsia="楷体_GB2312"/>
                <w:sz w:val="24"/>
              </w:rPr>
              <w:t>单  位</w:t>
            </w:r>
          </w:p>
        </w:tc>
        <w:tc>
          <w:tcPr>
            <w:tcW w:w="2604" w:type="dxa"/>
            <w:gridSpan w:val="2"/>
            <w:vAlign w:val="center"/>
          </w:tcPr>
          <w:p w14:paraId="38DF056B">
            <w:pPr>
              <w:spacing w:line="320" w:lineRule="exact"/>
              <w:jc w:val="center"/>
              <w:rPr>
                <w:rFonts w:eastAsia="楷体_GB2312"/>
                <w:sz w:val="24"/>
              </w:rPr>
            </w:pPr>
            <w:r>
              <w:rPr>
                <w:rFonts w:hint="eastAsia" w:ascii="楷体_GB2312" w:eastAsia="楷体_GB2312"/>
                <w:sz w:val="24"/>
              </w:rPr>
              <w:t>签字</w:t>
            </w:r>
          </w:p>
        </w:tc>
      </w:tr>
      <w:tr w14:paraId="0127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00" w:type="dxa"/>
            <w:vMerge w:val="continue"/>
            <w:vAlign w:val="center"/>
          </w:tcPr>
          <w:p w14:paraId="599D90EA">
            <w:pPr>
              <w:widowControl/>
              <w:jc w:val="left"/>
              <w:rPr>
                <w:rFonts w:eastAsia="楷体_GB2312"/>
                <w:sz w:val="24"/>
              </w:rPr>
            </w:pPr>
          </w:p>
        </w:tc>
        <w:tc>
          <w:tcPr>
            <w:tcW w:w="1356" w:type="dxa"/>
            <w:gridSpan w:val="2"/>
            <w:vAlign w:val="center"/>
          </w:tcPr>
          <w:p w14:paraId="0339DAF7">
            <w:pPr>
              <w:jc w:val="cente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4"/>
                <w:szCs w:val="24"/>
              </w:rPr>
              <w:t>扶卫萍</w:t>
            </w:r>
          </w:p>
        </w:tc>
        <w:tc>
          <w:tcPr>
            <w:tcW w:w="2192" w:type="dxa"/>
            <w:gridSpan w:val="4"/>
            <w:vAlign w:val="center"/>
          </w:tcPr>
          <w:p w14:paraId="7784C17F">
            <w:pPr>
              <w:jc w:val="cente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4"/>
                <w:szCs w:val="24"/>
              </w:rPr>
              <w:t>办公室主任</w:t>
            </w:r>
          </w:p>
        </w:tc>
        <w:tc>
          <w:tcPr>
            <w:tcW w:w="1768" w:type="dxa"/>
            <w:gridSpan w:val="2"/>
            <w:vAlign w:val="center"/>
          </w:tcPr>
          <w:p w14:paraId="318075EA">
            <w:pPr>
              <w:jc w:val="cente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4"/>
                <w:szCs w:val="24"/>
              </w:rPr>
              <w:t>市人大</w:t>
            </w:r>
          </w:p>
        </w:tc>
        <w:tc>
          <w:tcPr>
            <w:tcW w:w="2604" w:type="dxa"/>
            <w:gridSpan w:val="2"/>
          </w:tcPr>
          <w:p w14:paraId="0953D366">
            <w:pPr>
              <w:spacing w:line="320" w:lineRule="exact"/>
              <w:rPr>
                <w:rFonts w:eastAsia="楷体_GB2312"/>
                <w:sz w:val="24"/>
              </w:rPr>
            </w:pPr>
          </w:p>
        </w:tc>
      </w:tr>
      <w:tr w14:paraId="3BC4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0" w:type="dxa"/>
            <w:vMerge w:val="continue"/>
            <w:vAlign w:val="center"/>
          </w:tcPr>
          <w:p w14:paraId="1AAD1716">
            <w:pPr>
              <w:widowControl/>
              <w:jc w:val="left"/>
              <w:rPr>
                <w:rFonts w:eastAsia="楷体_GB2312"/>
                <w:sz w:val="24"/>
              </w:rPr>
            </w:pPr>
          </w:p>
        </w:tc>
        <w:tc>
          <w:tcPr>
            <w:tcW w:w="1356" w:type="dxa"/>
            <w:gridSpan w:val="2"/>
            <w:vAlign w:val="center"/>
          </w:tcPr>
          <w:p w14:paraId="1DD04D73">
            <w:pPr>
              <w:jc w:val="cente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4"/>
                <w:szCs w:val="24"/>
              </w:rPr>
              <w:t>向顺英</w:t>
            </w:r>
          </w:p>
        </w:tc>
        <w:tc>
          <w:tcPr>
            <w:tcW w:w="2192" w:type="dxa"/>
            <w:gridSpan w:val="4"/>
            <w:vAlign w:val="center"/>
          </w:tcPr>
          <w:p w14:paraId="45F51364">
            <w:pPr>
              <w:jc w:val="cente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4"/>
                <w:szCs w:val="24"/>
              </w:rPr>
              <w:t>财经委副主任委员</w:t>
            </w:r>
          </w:p>
        </w:tc>
        <w:tc>
          <w:tcPr>
            <w:tcW w:w="1768" w:type="dxa"/>
            <w:gridSpan w:val="2"/>
            <w:vAlign w:val="center"/>
          </w:tcPr>
          <w:p w14:paraId="1BA958D6">
            <w:pPr>
              <w:jc w:val="cente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4"/>
                <w:szCs w:val="24"/>
              </w:rPr>
              <w:t>市人大</w:t>
            </w:r>
          </w:p>
        </w:tc>
        <w:tc>
          <w:tcPr>
            <w:tcW w:w="2604" w:type="dxa"/>
            <w:gridSpan w:val="2"/>
          </w:tcPr>
          <w:p w14:paraId="52A84F65">
            <w:pPr>
              <w:spacing w:line="320" w:lineRule="exact"/>
              <w:rPr>
                <w:rFonts w:eastAsia="楷体_GB2312"/>
                <w:sz w:val="24"/>
              </w:rPr>
            </w:pPr>
          </w:p>
        </w:tc>
      </w:tr>
      <w:tr w14:paraId="6924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00" w:type="dxa"/>
            <w:vMerge w:val="continue"/>
            <w:vAlign w:val="center"/>
          </w:tcPr>
          <w:p w14:paraId="5F7011B3">
            <w:pPr>
              <w:widowControl/>
              <w:jc w:val="left"/>
              <w:rPr>
                <w:rFonts w:eastAsia="楷体_GB2312"/>
                <w:sz w:val="24"/>
              </w:rPr>
            </w:pPr>
          </w:p>
        </w:tc>
        <w:tc>
          <w:tcPr>
            <w:tcW w:w="1356" w:type="dxa"/>
            <w:gridSpan w:val="2"/>
            <w:vAlign w:val="center"/>
          </w:tcPr>
          <w:p w14:paraId="25BC1828">
            <w:pPr>
              <w:jc w:val="cente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4"/>
                <w:szCs w:val="24"/>
              </w:rPr>
              <w:t>杨雪芳</w:t>
            </w:r>
          </w:p>
        </w:tc>
        <w:tc>
          <w:tcPr>
            <w:tcW w:w="2192" w:type="dxa"/>
            <w:gridSpan w:val="4"/>
            <w:vAlign w:val="center"/>
          </w:tcPr>
          <w:p w14:paraId="2824B165">
            <w:pPr>
              <w:jc w:val="cente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4"/>
                <w:szCs w:val="24"/>
              </w:rPr>
              <w:t>办公室工作人员</w:t>
            </w:r>
          </w:p>
        </w:tc>
        <w:tc>
          <w:tcPr>
            <w:tcW w:w="1768" w:type="dxa"/>
            <w:gridSpan w:val="2"/>
            <w:vAlign w:val="center"/>
          </w:tcPr>
          <w:p w14:paraId="614C41FE">
            <w:pPr>
              <w:jc w:val="cente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4"/>
                <w:szCs w:val="24"/>
              </w:rPr>
              <w:t>市人大</w:t>
            </w:r>
          </w:p>
        </w:tc>
        <w:tc>
          <w:tcPr>
            <w:tcW w:w="2604" w:type="dxa"/>
            <w:gridSpan w:val="2"/>
          </w:tcPr>
          <w:p w14:paraId="6EF07AA4">
            <w:pPr>
              <w:spacing w:line="320" w:lineRule="exact"/>
              <w:rPr>
                <w:rFonts w:eastAsia="楷体_GB2312"/>
                <w:sz w:val="24"/>
              </w:rPr>
            </w:pPr>
          </w:p>
        </w:tc>
      </w:tr>
      <w:tr w14:paraId="24EE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trPr>
        <w:tc>
          <w:tcPr>
            <w:tcW w:w="8820" w:type="dxa"/>
            <w:gridSpan w:val="11"/>
          </w:tcPr>
          <w:p w14:paraId="13C04C54">
            <w:pPr>
              <w:spacing w:line="320" w:lineRule="exact"/>
              <w:rPr>
                <w:rFonts w:ascii="楷体_GB2312" w:eastAsia="楷体_GB2312"/>
                <w:sz w:val="24"/>
              </w:rPr>
            </w:pPr>
          </w:p>
          <w:p w14:paraId="1A410DA3">
            <w:pPr>
              <w:spacing w:line="320" w:lineRule="exact"/>
              <w:rPr>
                <w:rFonts w:ascii="楷体_GB2312" w:eastAsia="楷体_GB2312"/>
                <w:sz w:val="24"/>
              </w:rPr>
            </w:pPr>
            <w:r>
              <w:rPr>
                <w:rFonts w:hint="eastAsia" w:ascii="楷体_GB2312" w:eastAsia="楷体_GB2312"/>
                <w:sz w:val="24"/>
              </w:rPr>
              <w:t>评价组组长（签字）：</w:t>
            </w:r>
          </w:p>
          <w:p w14:paraId="615AA66D">
            <w:pPr>
              <w:spacing w:line="320" w:lineRule="exact"/>
              <w:ind w:firstLine="6000" w:firstLineChars="2500"/>
              <w:rPr>
                <w:rFonts w:ascii="楷体_GB2312" w:eastAsia="楷体_GB2312"/>
                <w:sz w:val="24"/>
              </w:rPr>
            </w:pPr>
            <w:r>
              <w:rPr>
                <w:rFonts w:hint="eastAsia" w:ascii="楷体_GB2312" w:eastAsia="楷体_GB2312"/>
                <w:sz w:val="24"/>
              </w:rPr>
              <w:t xml:space="preserve"> 年   月   日</w:t>
            </w:r>
          </w:p>
          <w:p w14:paraId="4F526A26">
            <w:pPr>
              <w:spacing w:line="320" w:lineRule="exact"/>
              <w:ind w:firstLine="1200" w:firstLineChars="500"/>
              <w:rPr>
                <w:rFonts w:ascii="楷体_GB2312" w:eastAsia="楷体_GB2312"/>
                <w:sz w:val="24"/>
              </w:rPr>
            </w:pPr>
          </w:p>
          <w:p w14:paraId="083D7706">
            <w:pPr>
              <w:spacing w:line="320" w:lineRule="exact"/>
              <w:rPr>
                <w:rFonts w:ascii="楷体_GB2312" w:eastAsia="楷体_GB2312"/>
                <w:sz w:val="24"/>
              </w:rPr>
            </w:pPr>
            <w:r>
              <w:rPr>
                <w:rFonts w:hint="eastAsia" w:ascii="楷体_GB2312" w:eastAsia="楷体_GB2312"/>
                <w:sz w:val="24"/>
              </w:rPr>
              <w:t>项目实施单位负责人（签字）：</w:t>
            </w:r>
          </w:p>
          <w:p w14:paraId="05EFA66E">
            <w:pPr>
              <w:spacing w:line="320" w:lineRule="exact"/>
              <w:rPr>
                <w:rFonts w:ascii="楷体_GB2312" w:eastAsia="楷体_GB2312"/>
                <w:sz w:val="24"/>
              </w:rPr>
            </w:pPr>
            <w:r>
              <w:rPr>
                <w:rFonts w:hint="eastAsia" w:ascii="楷体_GB2312" w:eastAsia="楷体_GB2312"/>
                <w:sz w:val="24"/>
              </w:rPr>
              <w:t xml:space="preserve">                                                    年   月   日</w:t>
            </w:r>
          </w:p>
          <w:p w14:paraId="4788DC6E">
            <w:pPr>
              <w:spacing w:line="320" w:lineRule="exact"/>
              <w:rPr>
                <w:rFonts w:eastAsia="楷体_GB2312"/>
                <w:sz w:val="24"/>
              </w:rPr>
            </w:pPr>
          </w:p>
          <w:p w14:paraId="0C0A3B0B">
            <w:pPr>
              <w:spacing w:line="320" w:lineRule="exact"/>
              <w:rPr>
                <w:rFonts w:ascii="楷体_GB2312" w:eastAsia="楷体_GB2312"/>
                <w:sz w:val="24"/>
              </w:rPr>
            </w:pPr>
            <w:r>
              <w:rPr>
                <w:rFonts w:hint="eastAsia" w:ascii="楷体_GB2312" w:eastAsia="楷体_GB2312"/>
                <w:sz w:val="24"/>
              </w:rPr>
              <w:t xml:space="preserve">项目实施单位名称（盖章）：                         </w:t>
            </w:r>
          </w:p>
          <w:p w14:paraId="070E97C2">
            <w:pPr>
              <w:spacing w:line="320" w:lineRule="exact"/>
              <w:ind w:firstLine="6240" w:firstLineChars="2600"/>
              <w:rPr>
                <w:rFonts w:ascii="楷体_GB2312" w:eastAsia="楷体_GB2312"/>
                <w:sz w:val="24"/>
              </w:rPr>
            </w:pPr>
            <w:r>
              <w:rPr>
                <w:rFonts w:hint="eastAsia" w:ascii="楷体_GB2312" w:eastAsia="楷体_GB2312"/>
                <w:sz w:val="24"/>
              </w:rPr>
              <w:t>年   月    日</w:t>
            </w:r>
          </w:p>
          <w:p w14:paraId="454C5FA9">
            <w:pPr>
              <w:spacing w:line="320" w:lineRule="exact"/>
              <w:rPr>
                <w:rFonts w:ascii="楷体_GB2312" w:eastAsia="楷体_GB2312"/>
                <w:sz w:val="24"/>
              </w:rPr>
            </w:pPr>
          </w:p>
          <w:p w14:paraId="0A4838B1">
            <w:pPr>
              <w:spacing w:line="320" w:lineRule="exact"/>
              <w:rPr>
                <w:rFonts w:ascii="楷体_GB2312" w:eastAsia="楷体_GB2312"/>
                <w:sz w:val="24"/>
              </w:rPr>
            </w:pPr>
            <w:r>
              <w:rPr>
                <w:rFonts w:hint="eastAsia" w:ascii="楷体_GB2312" w:eastAsia="楷体_GB2312"/>
                <w:sz w:val="24"/>
              </w:rPr>
              <w:t xml:space="preserve">主管部门负责人（签字） ：                         </w:t>
            </w:r>
          </w:p>
          <w:p w14:paraId="7CFA4AF7">
            <w:pPr>
              <w:spacing w:line="320" w:lineRule="exact"/>
              <w:ind w:firstLine="6240" w:firstLineChars="2600"/>
              <w:rPr>
                <w:rFonts w:ascii="楷体_GB2312" w:eastAsia="楷体_GB2312"/>
                <w:sz w:val="24"/>
              </w:rPr>
            </w:pPr>
            <w:r>
              <w:rPr>
                <w:rFonts w:hint="eastAsia" w:ascii="楷体_GB2312" w:eastAsia="楷体_GB2312"/>
                <w:sz w:val="24"/>
              </w:rPr>
              <w:t>年    月    日</w:t>
            </w:r>
          </w:p>
          <w:p w14:paraId="01D61A8D">
            <w:pPr>
              <w:spacing w:line="320" w:lineRule="exact"/>
              <w:rPr>
                <w:rFonts w:ascii="楷体_GB2312" w:eastAsia="楷体_GB2312"/>
                <w:sz w:val="24"/>
              </w:rPr>
            </w:pPr>
          </w:p>
          <w:p w14:paraId="3168B07E">
            <w:pPr>
              <w:spacing w:line="320" w:lineRule="exact"/>
              <w:rPr>
                <w:rFonts w:ascii="楷体_GB2312" w:eastAsia="楷体_GB2312"/>
                <w:sz w:val="24"/>
              </w:rPr>
            </w:pPr>
            <w:r>
              <w:rPr>
                <w:rFonts w:hint="eastAsia" w:ascii="楷体_GB2312" w:eastAsia="楷体_GB2312"/>
                <w:sz w:val="24"/>
              </w:rPr>
              <w:t xml:space="preserve">主管部门（盖章） ：                              </w:t>
            </w:r>
          </w:p>
          <w:p w14:paraId="1DBB2255">
            <w:pPr>
              <w:spacing w:line="320" w:lineRule="exact"/>
              <w:ind w:firstLine="6240" w:firstLineChars="2600"/>
              <w:rPr>
                <w:rFonts w:ascii="楷体_GB2312" w:eastAsia="楷体_GB2312"/>
                <w:sz w:val="24"/>
              </w:rPr>
            </w:pPr>
            <w:r>
              <w:rPr>
                <w:rFonts w:hint="eastAsia" w:ascii="楷体_GB2312" w:eastAsia="楷体_GB2312"/>
                <w:sz w:val="24"/>
              </w:rPr>
              <w:t>年    月    日</w:t>
            </w:r>
          </w:p>
          <w:p w14:paraId="616F3341">
            <w:pPr>
              <w:spacing w:line="320" w:lineRule="exact"/>
              <w:rPr>
                <w:rFonts w:eastAsia="楷体_GB2312"/>
                <w:sz w:val="24"/>
              </w:rPr>
            </w:pPr>
          </w:p>
        </w:tc>
      </w:tr>
      <w:tr w14:paraId="1DF0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820" w:type="dxa"/>
            <w:gridSpan w:val="11"/>
          </w:tcPr>
          <w:p w14:paraId="6F4B7615">
            <w:pPr>
              <w:spacing w:line="320" w:lineRule="exact"/>
              <w:rPr>
                <w:rFonts w:ascii="仿宋_GB2312" w:eastAsia="仿宋_GB2312"/>
                <w:sz w:val="24"/>
              </w:rPr>
            </w:pPr>
            <w:r>
              <w:rPr>
                <w:rFonts w:hint="eastAsia" w:ascii="仿宋_GB2312" w:eastAsia="仿宋_GB2312"/>
                <w:sz w:val="24"/>
              </w:rPr>
              <w:t>财政部门归口业务股室意见：</w:t>
            </w:r>
          </w:p>
          <w:p w14:paraId="2738AB68">
            <w:pPr>
              <w:spacing w:line="320" w:lineRule="exact"/>
              <w:rPr>
                <w:rFonts w:eastAsia="仿宋_GB2312"/>
                <w:sz w:val="24"/>
              </w:rPr>
            </w:pPr>
            <w:r>
              <w:rPr>
                <w:rFonts w:hint="eastAsia" w:eastAsia="仿宋_GB2312"/>
                <w:sz w:val="24"/>
              </w:rPr>
              <w:t xml:space="preserve">  </w:t>
            </w:r>
          </w:p>
          <w:p w14:paraId="7199A876">
            <w:pPr>
              <w:spacing w:line="320" w:lineRule="exact"/>
              <w:rPr>
                <w:rFonts w:eastAsia="仿宋_GB2312"/>
                <w:sz w:val="24"/>
              </w:rPr>
            </w:pPr>
          </w:p>
          <w:p w14:paraId="206AAC56">
            <w:pPr>
              <w:spacing w:line="320" w:lineRule="exact"/>
              <w:rPr>
                <w:rFonts w:eastAsia="仿宋_GB2312"/>
                <w:sz w:val="24"/>
              </w:rPr>
            </w:pPr>
            <w:r>
              <w:rPr>
                <w:rFonts w:hint="eastAsia" w:eastAsia="仿宋_GB2312"/>
                <w:sz w:val="24"/>
              </w:rPr>
              <w:t>财政部门归口业务股室负责人（签字）：         财政部门归口业务股室（盖章）：</w:t>
            </w:r>
          </w:p>
          <w:p w14:paraId="3044A0ED">
            <w:pPr>
              <w:spacing w:line="320" w:lineRule="exact"/>
              <w:jc w:val="left"/>
              <w:textAlignment w:val="center"/>
              <w:rPr>
                <w:rFonts w:eastAsia="仿宋_GB2312"/>
                <w:sz w:val="24"/>
              </w:rPr>
            </w:pPr>
            <w:r>
              <w:rPr>
                <w:rFonts w:hint="eastAsia" w:eastAsia="仿宋_GB2312"/>
                <w:sz w:val="24"/>
              </w:rPr>
              <w:t xml:space="preserve">                                                                 </w:t>
            </w:r>
          </w:p>
          <w:p w14:paraId="214FD956">
            <w:pPr>
              <w:spacing w:line="320" w:lineRule="exact"/>
              <w:ind w:firstLine="6480" w:firstLineChars="2700"/>
              <w:rPr>
                <w:rFonts w:eastAsia="楷体_GB2312"/>
                <w:sz w:val="24"/>
              </w:rPr>
            </w:pPr>
            <w:r>
              <w:rPr>
                <w:rFonts w:hint="eastAsia" w:eastAsia="仿宋_GB2312"/>
                <w:sz w:val="24"/>
              </w:rPr>
              <w:t>年    月   日</w:t>
            </w:r>
            <w:r>
              <w:rPr>
                <w:rFonts w:hint="eastAsia" w:ascii="楷体_GB2312" w:eastAsia="楷体_GB2312"/>
                <w:sz w:val="24"/>
              </w:rPr>
              <w:t xml:space="preserve">               </w:t>
            </w:r>
          </w:p>
        </w:tc>
      </w:tr>
    </w:tbl>
    <w:p w14:paraId="0993990B">
      <w:pPr>
        <w:spacing w:line="700" w:lineRule="exact"/>
        <w:jc w:val="both"/>
        <w:rPr>
          <w:rFonts w:hint="eastAsia" w:ascii="方正小标宋简体" w:eastAsia="方正小标宋简体"/>
          <w:sz w:val="44"/>
          <w:szCs w:val="44"/>
        </w:rPr>
      </w:pPr>
    </w:p>
    <w:p w14:paraId="36F733A5">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2021</w:t>
      </w:r>
      <w:r>
        <w:rPr>
          <w:rFonts w:hint="eastAsia" w:ascii="方正小标宋简体" w:eastAsia="方正小标宋简体"/>
          <w:sz w:val="44"/>
          <w:szCs w:val="44"/>
        </w:rPr>
        <w:t>年度</w:t>
      </w:r>
      <w:r>
        <w:rPr>
          <w:rFonts w:hint="eastAsia" w:ascii="方正小标宋简体" w:eastAsia="方正小标宋简体"/>
          <w:sz w:val="44"/>
          <w:szCs w:val="44"/>
          <w:lang w:eastAsia="zh-CN"/>
        </w:rPr>
        <w:t>人大会议费</w:t>
      </w:r>
      <w:r>
        <w:rPr>
          <w:rFonts w:hint="eastAsia" w:ascii="方正小标宋简体" w:eastAsia="方正小标宋简体"/>
          <w:sz w:val="44"/>
          <w:szCs w:val="44"/>
        </w:rPr>
        <w:t>项目支出绩效评价报告</w:t>
      </w:r>
    </w:p>
    <w:p w14:paraId="36EB9E4D">
      <w:pPr>
        <w:pStyle w:val="2"/>
      </w:pPr>
    </w:p>
    <w:p w14:paraId="760CE7A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黑体"/>
          <w:sz w:val="32"/>
          <w:szCs w:val="32"/>
        </w:rPr>
      </w:pPr>
      <w:r>
        <w:rPr>
          <w:rFonts w:ascii="黑体" w:hAnsi="黑体" w:eastAsia="黑体"/>
          <w:sz w:val="32"/>
          <w:szCs w:val="32"/>
        </w:rPr>
        <w:t>一、</w:t>
      </w:r>
      <w:r>
        <w:rPr>
          <w:rFonts w:hint="eastAsia" w:ascii="黑体" w:hAnsi="黑体" w:eastAsia="黑体"/>
          <w:sz w:val="32"/>
          <w:szCs w:val="32"/>
        </w:rPr>
        <w:t>项目</w:t>
      </w:r>
      <w:r>
        <w:rPr>
          <w:rFonts w:ascii="黑体" w:hAnsi="黑体" w:eastAsia="黑体"/>
          <w:sz w:val="32"/>
          <w:szCs w:val="32"/>
        </w:rPr>
        <w:t>概况</w:t>
      </w:r>
    </w:p>
    <w:p w14:paraId="2CA99B9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（一）项目实施单位基本情况。</w:t>
      </w:r>
    </w:p>
    <w:p w14:paraId="11C2537A">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rPr>
        <w:t>市人大常委会为全额拨款单位，内设工作委办2个：办公室、联工委；设7个专门委员会：环资委、农业委、教科文卫委、财经委、民侨外委、监司委、社会委。</w:t>
      </w:r>
      <w:r>
        <w:rPr>
          <w:rFonts w:hint="eastAsia" w:ascii="仿宋_GB2312" w:hAnsi="仿宋_GB2312" w:eastAsia="仿宋_GB2312" w:cs="仿宋_GB2312"/>
          <w:color w:val="000000"/>
          <w:sz w:val="32"/>
          <w:szCs w:val="32"/>
          <w:shd w:val="clear" w:color="auto" w:fill="FFFFFF"/>
        </w:rPr>
        <w:t>编委核定行政编制29个（工勤编1个）。</w:t>
      </w:r>
      <w:r>
        <w:rPr>
          <w:rFonts w:hint="eastAsia" w:ascii="仿宋_GB2312" w:hAnsi="仿宋_GB2312" w:eastAsia="仿宋_GB2312" w:cs="仿宋_GB2312"/>
          <w:sz w:val="32"/>
          <w:szCs w:val="32"/>
        </w:rPr>
        <w:t>办公室下设信息化中心，核定事业编3个。退休27人。</w:t>
      </w:r>
    </w:p>
    <w:p w14:paraId="1FCC4D19">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（二）项目资金基本情况包括项目资金基本性质、用途和主要内容、涉及范围等。</w:t>
      </w:r>
    </w:p>
    <w:p w14:paraId="06BDC40B">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lang w:eastAsia="zh-CN"/>
        </w:rPr>
      </w:pPr>
      <w:r>
        <w:rPr>
          <w:rFonts w:hint="eastAsia" w:ascii="仿宋_GB2312" w:hAnsi="仿宋_GB2312" w:eastAsia="仿宋_GB2312" w:cs="仿宋_GB2312"/>
          <w:sz w:val="32"/>
          <w:szCs w:val="32"/>
          <w:shd w:val="clear" w:color="auto" w:fill="FFFFFF"/>
        </w:rPr>
        <w:t>市人大本次评价资金总额</w:t>
      </w:r>
      <w:r>
        <w:rPr>
          <w:rFonts w:hint="eastAsia" w:ascii="仿宋_GB2312" w:hAnsi="仿宋_GB2312" w:eastAsia="仿宋_GB2312" w:cs="仿宋_GB2312"/>
          <w:sz w:val="32"/>
          <w:szCs w:val="32"/>
          <w:shd w:val="clear" w:color="auto" w:fill="FFFFFF"/>
          <w:lang w:val="en-US" w:eastAsia="zh-CN"/>
        </w:rPr>
        <w:t>80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为财政一般公共预算拨款，</w:t>
      </w:r>
      <w:r>
        <w:rPr>
          <w:rFonts w:hint="eastAsia" w:ascii="仿宋_GB2312" w:hAnsi="仿宋_GB2312" w:eastAsia="仿宋_GB2312" w:cs="仿宋_GB2312"/>
          <w:sz w:val="32"/>
          <w:szCs w:val="32"/>
          <w:shd w:val="clear" w:color="auto" w:fill="FFFFFF"/>
        </w:rPr>
        <w:t>项目立项时间：202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年部门预算</w:t>
      </w:r>
      <w:r>
        <w:rPr>
          <w:rFonts w:hint="eastAsia" w:ascii="仿宋_GB2312" w:hAnsi="仿宋_GB2312" w:eastAsia="仿宋_GB2312" w:cs="仿宋_GB2312"/>
          <w:sz w:val="32"/>
          <w:szCs w:val="32"/>
          <w:shd w:val="clear" w:color="auto" w:fill="FFFFFF"/>
          <w:lang w:val="en-US" w:eastAsia="zh-CN"/>
        </w:rPr>
        <w:t>48</w:t>
      </w:r>
      <w:r>
        <w:rPr>
          <w:rFonts w:hint="eastAsia" w:ascii="仿宋_GB2312" w:hAnsi="仿宋_GB2312" w:eastAsia="仿宋_GB2312" w:cs="仿宋_GB2312"/>
          <w:sz w:val="32"/>
          <w:szCs w:val="32"/>
          <w:shd w:val="clear" w:color="auto" w:fill="FFFFFF"/>
        </w:rPr>
        <w:t>万元，202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月份财政追加</w:t>
      </w:r>
      <w:r>
        <w:rPr>
          <w:rFonts w:hint="eastAsia" w:ascii="仿宋_GB2312" w:hAnsi="仿宋_GB2312" w:eastAsia="仿宋_GB2312" w:cs="仿宋_GB2312"/>
          <w:sz w:val="32"/>
          <w:szCs w:val="32"/>
          <w:shd w:val="clear" w:color="auto" w:fill="FFFFFF"/>
          <w:lang w:val="en-US" w:eastAsia="zh-CN"/>
        </w:rPr>
        <w:t>32</w:t>
      </w:r>
      <w:r>
        <w:rPr>
          <w:rFonts w:hint="eastAsia" w:ascii="仿宋_GB2312" w:hAnsi="仿宋_GB2312" w:eastAsia="仿宋_GB2312" w:cs="仿宋_GB2312"/>
          <w:sz w:val="32"/>
          <w:szCs w:val="32"/>
          <w:shd w:val="clear" w:color="auto" w:fill="FFFFFF"/>
        </w:rPr>
        <w:t>万元，本次评价的资金主要涵盖以下几个方面的工作：一是按标准足额保障人代会相关会议费支出，确保人代会圆满完成。二是确保人代会期间的相关协调经费支出。三是确保人代会期间的交通费用支出。四是确保人代会期间应急费用支出。五是确保人代会的新闻宣传费用支出。六是通过经费保障，确保人代会各项议程顺利进行，确保会议达到预期效果。</w:t>
      </w:r>
    </w:p>
    <w:p w14:paraId="1E0BE059">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项目资金绩效目标，包括总体目标和年度目标。</w:t>
      </w:r>
    </w:p>
    <w:p w14:paraId="2624D728">
      <w:pPr>
        <w:pStyle w:val="2"/>
        <w:keepNext w:val="0"/>
        <w:keepLines w:val="0"/>
        <w:pageBreakBefore w:val="0"/>
        <w:widowControl w:val="0"/>
        <w:numPr>
          <w:ilvl w:val="0"/>
          <w:numId w:val="0"/>
        </w:numPr>
        <w:kinsoku/>
        <w:wordWrap/>
        <w:overflowPunct/>
        <w:topLinePunct w:val="0"/>
        <w:autoSpaceDE/>
        <w:autoSpaceDN/>
        <w:bidi w:val="0"/>
        <w:snapToGrid w:val="0"/>
        <w:spacing w:line="360" w:lineRule="auto"/>
        <w:ind w:firstLine="640" w:firstLineChars="200"/>
        <w:jc w:val="left"/>
        <w:textAlignment w:val="auto"/>
        <w:rPr>
          <w:rFonts w:hint="eastAsia" w:ascii="仿宋_GB2312" w:hAnsi="仿宋_GB2312" w:eastAsia="仿宋_GB2312" w:cs="仿宋_GB2312"/>
          <w:sz w:val="32"/>
          <w:szCs w:val="32"/>
          <w:shd w:val="clear" w:color="auto" w:fill="FFFFFF"/>
          <w:lang w:eastAsia="zh-CN"/>
        </w:rPr>
      </w:pPr>
      <w:r>
        <w:rPr>
          <w:rFonts w:hint="eastAsia" w:ascii="仿宋" w:hAnsi="仿宋" w:eastAsia="仿宋" w:cs="仿宋"/>
          <w:sz w:val="32"/>
          <w:szCs w:val="32"/>
          <w:lang w:val="en-US" w:eastAsia="zh-CN"/>
        </w:rPr>
        <w:t>全年拟</w:t>
      </w:r>
      <w:r>
        <w:rPr>
          <w:rFonts w:hint="eastAsia" w:ascii="仿宋" w:hAnsi="仿宋" w:eastAsia="仿宋" w:cs="仿宋"/>
          <w:i w:val="0"/>
          <w:caps w:val="0"/>
          <w:color w:val="000000"/>
          <w:spacing w:val="0"/>
          <w:sz w:val="32"/>
          <w:szCs w:val="32"/>
        </w:rPr>
        <w:t>召开人民代表大会</w:t>
      </w:r>
      <w:r>
        <w:rPr>
          <w:rFonts w:hint="eastAsia" w:ascii="仿宋" w:hAnsi="仿宋" w:eastAsia="仿宋" w:cs="仿宋"/>
          <w:i w:val="0"/>
          <w:caps w:val="0"/>
          <w:color w:val="000000"/>
          <w:spacing w:val="0"/>
          <w:sz w:val="32"/>
          <w:szCs w:val="32"/>
          <w:lang w:val="en-US" w:eastAsia="zh-CN"/>
        </w:rPr>
        <w:t>1</w:t>
      </w:r>
      <w:r>
        <w:rPr>
          <w:rFonts w:hint="eastAsia" w:ascii="仿宋" w:hAnsi="仿宋" w:eastAsia="仿宋" w:cs="仿宋"/>
          <w:i w:val="0"/>
          <w:caps w:val="0"/>
          <w:color w:val="000000"/>
          <w:spacing w:val="0"/>
          <w:sz w:val="32"/>
          <w:szCs w:val="32"/>
        </w:rPr>
        <w:t>次</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sz w:val="32"/>
          <w:szCs w:val="32"/>
          <w:lang w:val="en-US" w:eastAsia="zh-CN"/>
        </w:rPr>
        <w:t>常委会会议8次，主任会议15次，</w:t>
      </w:r>
      <w:r>
        <w:rPr>
          <w:rFonts w:hint="eastAsia" w:ascii="仿宋" w:hAnsi="仿宋" w:eastAsia="仿宋" w:cs="仿宋"/>
          <w:i w:val="0"/>
          <w:iCs w:val="0"/>
          <w:caps w:val="0"/>
          <w:color w:val="333333"/>
          <w:spacing w:val="0"/>
          <w:sz w:val="32"/>
          <w:szCs w:val="32"/>
          <w:shd w:val="clear" w:fill="FFFFFF"/>
        </w:rPr>
        <w:t>会议所需用品、会议补助等各项支出不超当年度预算</w:t>
      </w:r>
      <w:r>
        <w:rPr>
          <w:rFonts w:hint="eastAsia" w:ascii="仿宋" w:hAnsi="仿宋" w:eastAsia="仿宋" w:cs="仿宋"/>
          <w:i w:val="0"/>
          <w:iCs w:val="0"/>
          <w:caps w:val="0"/>
          <w:color w:val="333333"/>
          <w:spacing w:val="0"/>
          <w:sz w:val="32"/>
          <w:szCs w:val="32"/>
          <w:shd w:val="clear" w:fill="FFFFFF"/>
          <w:lang w:val="en-US" w:eastAsia="zh-CN"/>
        </w:rPr>
        <w:t>80万</w:t>
      </w:r>
      <w:r>
        <w:rPr>
          <w:rFonts w:hint="eastAsia" w:ascii="仿宋" w:hAnsi="仿宋" w:eastAsia="仿宋" w:cs="仿宋"/>
          <w:i w:val="0"/>
          <w:iCs w:val="0"/>
          <w:caps w:val="0"/>
          <w:color w:val="333333"/>
          <w:spacing w:val="0"/>
          <w:sz w:val="32"/>
          <w:szCs w:val="32"/>
          <w:shd w:val="clear" w:fill="FFFFFF"/>
        </w:rPr>
        <w:t>元，资金使用率</w:t>
      </w:r>
      <w:r>
        <w:rPr>
          <w:rFonts w:hint="eastAsia" w:ascii="仿宋" w:hAnsi="仿宋" w:eastAsia="仿宋" w:cs="仿宋"/>
          <w:i w:val="0"/>
          <w:iCs w:val="0"/>
          <w:caps w:val="0"/>
          <w:color w:val="333333"/>
          <w:spacing w:val="0"/>
          <w:sz w:val="32"/>
          <w:szCs w:val="32"/>
          <w:shd w:val="clear" w:fill="FFFFFF"/>
          <w:lang w:val="en-US" w:eastAsia="zh-CN"/>
        </w:rPr>
        <w:t>95</w:t>
      </w:r>
      <w:r>
        <w:rPr>
          <w:rFonts w:hint="eastAsia" w:ascii="仿宋" w:hAnsi="仿宋" w:eastAsia="仿宋" w:cs="仿宋"/>
          <w:i w:val="0"/>
          <w:iCs w:val="0"/>
          <w:caps w:val="0"/>
          <w:color w:val="333333"/>
          <w:spacing w:val="0"/>
          <w:sz w:val="32"/>
          <w:szCs w:val="32"/>
          <w:shd w:val="clear" w:fill="FFFFFF"/>
        </w:rPr>
        <w:t>%，财政资金使用充分；人大代表履职能力水平进一步提高；人大代表议案和建议受理比例达90%；</w:t>
      </w:r>
      <w:r>
        <w:rPr>
          <w:rFonts w:hint="eastAsia" w:ascii="仿宋" w:hAnsi="仿宋" w:eastAsia="仿宋" w:cs="仿宋"/>
          <w:i w:val="0"/>
          <w:iCs w:val="0"/>
          <w:caps w:val="0"/>
          <w:color w:val="333333"/>
          <w:spacing w:val="0"/>
          <w:sz w:val="32"/>
          <w:szCs w:val="32"/>
          <w:shd w:val="clear" w:fill="FFFFFF"/>
          <w:lang w:eastAsia="zh-CN"/>
        </w:rPr>
        <w:t>吉首市</w:t>
      </w:r>
      <w:r>
        <w:rPr>
          <w:rFonts w:hint="eastAsia" w:ascii="仿宋" w:hAnsi="仿宋" w:eastAsia="仿宋" w:cs="仿宋"/>
          <w:i w:val="0"/>
          <w:iCs w:val="0"/>
          <w:caps w:val="0"/>
          <w:color w:val="333333"/>
          <w:spacing w:val="0"/>
          <w:sz w:val="32"/>
          <w:szCs w:val="32"/>
          <w:shd w:val="clear" w:fill="FFFFFF"/>
        </w:rPr>
        <w:t>人民代表大会通过决议及一府两院报告、人大常委会报告；人大代表及辖区选民的抽样满意度90%以上</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sz w:val="32"/>
          <w:szCs w:val="32"/>
        </w:rPr>
        <w:t>足额保障人代会相关会议费支出，确保人代会圆满完成。</w:t>
      </w:r>
    </w:p>
    <w:p w14:paraId="7C2FCBC9">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eastAsia="黑体"/>
          <w:sz w:val="32"/>
          <w:szCs w:val="32"/>
        </w:rPr>
      </w:pPr>
      <w:r>
        <w:rPr>
          <w:rFonts w:ascii="黑体" w:hAnsi="黑体" w:eastAsia="黑体"/>
          <w:sz w:val="32"/>
          <w:szCs w:val="32"/>
        </w:rPr>
        <w:t>二、</w:t>
      </w:r>
      <w:r>
        <w:rPr>
          <w:rFonts w:hint="eastAsia" w:ascii="黑体" w:hAnsi="黑体" w:eastAsia="黑体"/>
          <w:sz w:val="32"/>
          <w:szCs w:val="32"/>
        </w:rPr>
        <w:t>项目</w:t>
      </w:r>
      <w:r>
        <w:rPr>
          <w:rFonts w:ascii="黑体" w:hAnsi="黑体" w:eastAsia="黑体"/>
          <w:sz w:val="32"/>
          <w:szCs w:val="32"/>
        </w:rPr>
        <w:t>资金使用及管理情况</w:t>
      </w:r>
    </w:p>
    <w:p w14:paraId="4E78A09E">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（一）项目资金安排落实、总投入等情况</w:t>
      </w:r>
    </w:p>
    <w:p w14:paraId="71DE0D54">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年吉首市财政局下达预算</w:t>
      </w:r>
      <w:r>
        <w:rPr>
          <w:rFonts w:hint="eastAsia" w:ascii="仿宋" w:hAnsi="仿宋" w:eastAsia="仿宋" w:cs="仿宋"/>
          <w:sz w:val="32"/>
          <w:szCs w:val="32"/>
          <w:lang w:val="en-US" w:eastAsia="zh-CN"/>
        </w:rPr>
        <w:t>48</w:t>
      </w:r>
      <w:r>
        <w:rPr>
          <w:rFonts w:hint="eastAsia" w:ascii="仿宋" w:hAnsi="仿宋" w:eastAsia="仿宋" w:cs="仿宋"/>
          <w:sz w:val="32"/>
          <w:szCs w:val="32"/>
        </w:rPr>
        <w:t>万元，</w:t>
      </w:r>
      <w:r>
        <w:rPr>
          <w:rFonts w:hint="eastAsia" w:ascii="仿宋" w:hAnsi="仿宋" w:eastAsia="仿宋" w:cs="仿宋"/>
          <w:sz w:val="32"/>
          <w:szCs w:val="32"/>
          <w:lang w:eastAsia="zh-CN"/>
        </w:rPr>
        <w:t>追加</w:t>
      </w:r>
      <w:r>
        <w:rPr>
          <w:rFonts w:hint="eastAsia" w:ascii="仿宋" w:hAnsi="仿宋" w:eastAsia="仿宋" w:cs="仿宋"/>
          <w:sz w:val="32"/>
          <w:szCs w:val="32"/>
          <w:lang w:val="en-US" w:eastAsia="zh-CN"/>
        </w:rPr>
        <w:t>32万元，</w:t>
      </w:r>
      <w:r>
        <w:rPr>
          <w:rFonts w:hint="eastAsia" w:ascii="仿宋" w:hAnsi="仿宋" w:eastAsia="仿宋" w:cs="仿宋"/>
          <w:sz w:val="32"/>
          <w:szCs w:val="32"/>
        </w:rPr>
        <w:t>实际到位资金</w:t>
      </w:r>
      <w:r>
        <w:rPr>
          <w:rFonts w:hint="eastAsia" w:ascii="仿宋" w:hAnsi="仿宋" w:eastAsia="仿宋" w:cs="仿宋"/>
          <w:sz w:val="32"/>
          <w:szCs w:val="32"/>
          <w:lang w:val="en-US" w:eastAsia="zh-CN"/>
        </w:rPr>
        <w:t>80</w:t>
      </w:r>
      <w:r>
        <w:rPr>
          <w:rFonts w:hint="eastAsia" w:ascii="仿宋" w:hAnsi="仿宋" w:eastAsia="仿宋" w:cs="仿宋"/>
          <w:sz w:val="32"/>
          <w:szCs w:val="32"/>
        </w:rPr>
        <w:t>万元，项目资金到位率达</w:t>
      </w:r>
      <w:r>
        <w:rPr>
          <w:rFonts w:ascii="仿宋" w:hAnsi="仿宋" w:eastAsia="仿宋" w:cs="仿宋"/>
          <w:sz w:val="32"/>
          <w:szCs w:val="32"/>
        </w:rPr>
        <w:t>1</w:t>
      </w:r>
      <w:r>
        <w:rPr>
          <w:rFonts w:hint="eastAsia" w:ascii="仿宋" w:hAnsi="仿宋" w:eastAsia="仿宋" w:cs="仿宋"/>
          <w:sz w:val="32"/>
          <w:szCs w:val="32"/>
          <w:lang w:val="en-US" w:eastAsia="zh-CN"/>
        </w:rPr>
        <w:t>25</w:t>
      </w:r>
      <w:r>
        <w:rPr>
          <w:rFonts w:ascii="仿宋" w:hAnsi="仿宋" w:eastAsia="仿宋" w:cs="仿宋"/>
          <w:sz w:val="32"/>
          <w:szCs w:val="32"/>
        </w:rPr>
        <w:t>%</w:t>
      </w:r>
      <w:r>
        <w:rPr>
          <w:rFonts w:hint="eastAsia" w:ascii="仿宋" w:hAnsi="仿宋" w:eastAsia="仿宋" w:cs="仿宋"/>
          <w:sz w:val="32"/>
          <w:szCs w:val="32"/>
        </w:rPr>
        <w:t>。</w:t>
      </w:r>
    </w:p>
    <w:p w14:paraId="3CE1FC42">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（二）项目资金实际使用情况</w:t>
      </w:r>
    </w:p>
    <w:p w14:paraId="3577E497">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截止</w:t>
      </w:r>
      <w:r>
        <w:rPr>
          <w:rFonts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w:t>
      </w:r>
      <w:r>
        <w:rPr>
          <w:rFonts w:hint="eastAsia" w:ascii="仿宋" w:hAnsi="仿宋" w:eastAsia="仿宋" w:cs="仿宋"/>
          <w:sz w:val="32"/>
          <w:szCs w:val="32"/>
          <w:lang w:eastAsia="zh-CN"/>
        </w:rPr>
        <w:t>人大会议费</w:t>
      </w:r>
      <w:r>
        <w:rPr>
          <w:rFonts w:hint="eastAsia" w:ascii="仿宋" w:hAnsi="仿宋" w:eastAsia="仿宋" w:cs="仿宋"/>
          <w:sz w:val="32"/>
          <w:szCs w:val="32"/>
        </w:rPr>
        <w:t>项目支出</w:t>
      </w:r>
      <w:r>
        <w:rPr>
          <w:rFonts w:hint="eastAsia" w:ascii="仿宋" w:hAnsi="仿宋" w:eastAsia="仿宋" w:cs="仿宋"/>
          <w:sz w:val="32"/>
          <w:szCs w:val="32"/>
          <w:lang w:val="en-US" w:eastAsia="zh-CN"/>
        </w:rPr>
        <w:t>8</w:t>
      </w:r>
      <w:r>
        <w:rPr>
          <w:rFonts w:ascii="仿宋" w:hAnsi="仿宋" w:eastAsia="仿宋" w:cs="仿宋"/>
          <w:sz w:val="32"/>
          <w:szCs w:val="32"/>
        </w:rPr>
        <w:t>0</w:t>
      </w:r>
      <w:r>
        <w:rPr>
          <w:rFonts w:hint="eastAsia" w:ascii="仿宋" w:hAnsi="仿宋" w:eastAsia="仿宋" w:cs="仿宋"/>
          <w:sz w:val="32"/>
          <w:szCs w:val="32"/>
        </w:rPr>
        <w:t>万元。</w:t>
      </w:r>
      <w:r>
        <w:rPr>
          <w:rFonts w:hint="eastAsia" w:ascii="仿宋" w:hAnsi="仿宋" w:eastAsia="仿宋" w:cs="仿宋"/>
          <w:sz w:val="32"/>
          <w:szCs w:val="32"/>
          <w:lang w:eastAsia="zh-CN"/>
        </w:rPr>
        <w:t>人大会议</w:t>
      </w:r>
      <w:r>
        <w:rPr>
          <w:rFonts w:hint="eastAsia" w:ascii="仿宋" w:hAnsi="仿宋" w:eastAsia="仿宋" w:cs="仿宋"/>
          <w:sz w:val="32"/>
          <w:szCs w:val="32"/>
        </w:rPr>
        <w:t>经费支出具体包括：</w:t>
      </w:r>
      <w:r>
        <w:rPr>
          <w:rFonts w:hint="eastAsia" w:ascii="仿宋" w:hAnsi="仿宋" w:eastAsia="仿宋" w:cs="仿宋"/>
          <w:i w:val="0"/>
          <w:iCs w:val="0"/>
          <w:caps w:val="0"/>
          <w:color w:val="000000"/>
          <w:spacing w:val="0"/>
          <w:sz w:val="32"/>
          <w:szCs w:val="32"/>
          <w:shd w:val="clear" w:fill="FFFFFF"/>
        </w:rPr>
        <w:t>印刷会议资料、会议用品、安排部分参会人员的食宿、租用车辆、印制证件、会议宣传及有关会务方面的费用</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严格按照一类会议的标准执行，人代会经费控制在预算范围内</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按照</w:t>
      </w:r>
      <w:r>
        <w:rPr>
          <w:rFonts w:hint="eastAsia" w:ascii="仿宋" w:hAnsi="仿宋" w:eastAsia="仿宋" w:cs="仿宋"/>
          <w:i w:val="0"/>
          <w:iCs w:val="0"/>
          <w:caps w:val="0"/>
          <w:color w:val="000000"/>
          <w:spacing w:val="0"/>
          <w:sz w:val="32"/>
          <w:szCs w:val="32"/>
          <w:shd w:val="clear" w:fill="FFFFFF"/>
          <w:lang w:val="en-US" w:eastAsia="zh-CN"/>
        </w:rPr>
        <w:t>2021年预算批复文件</w:t>
      </w:r>
      <w:r>
        <w:rPr>
          <w:rFonts w:hint="eastAsia" w:ascii="仿宋" w:hAnsi="仿宋" w:eastAsia="仿宋" w:cs="仿宋"/>
          <w:i w:val="0"/>
          <w:iCs w:val="0"/>
          <w:caps w:val="0"/>
          <w:color w:val="000000"/>
          <w:spacing w:val="0"/>
          <w:sz w:val="32"/>
          <w:szCs w:val="32"/>
          <w:shd w:val="clear" w:fill="FFFFFF"/>
        </w:rPr>
        <w:t>中人大会议费预算范围内开支</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落实中央“八项规定”精神及省市具体规定，厉行节约，经费控制在预算范围内</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支出依据合规，无虚列项目支出、截留挤占挪用、超标准开支和超预算开支等违规情况。</w:t>
      </w:r>
    </w:p>
    <w:p w14:paraId="3B3EC75B">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 w:hAnsi="仿宋" w:eastAsia="仿宋" w:cs="仿宋"/>
          <w:sz w:val="32"/>
          <w:szCs w:val="32"/>
          <w:lang w:val="en-US" w:eastAsia="zh-CN"/>
        </w:rPr>
        <w:t>（三）</w:t>
      </w:r>
      <w:r>
        <w:rPr>
          <w:rFonts w:hint="eastAsia" w:ascii="仿宋_GB2312" w:eastAsia="仿宋_GB2312"/>
          <w:sz w:val="32"/>
          <w:szCs w:val="32"/>
        </w:rPr>
        <w:t>项目</w:t>
      </w:r>
      <w:r>
        <w:rPr>
          <w:rFonts w:ascii="仿宋_GB2312" w:eastAsia="仿宋_GB2312"/>
          <w:sz w:val="32"/>
          <w:szCs w:val="32"/>
        </w:rPr>
        <w:t>资金管理情况分析，主要包括管理制度、办法的制订及执行情况。</w:t>
      </w:r>
    </w:p>
    <w:p w14:paraId="331316E7">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lang w:val="en-US" w:eastAsia="zh-CN"/>
        </w:rPr>
      </w:pPr>
      <w:r>
        <w:rPr>
          <w:rFonts w:hint="eastAsia" w:ascii="仿宋" w:hAnsi="仿宋" w:eastAsia="仿宋" w:cs="仿宋"/>
          <w:sz w:val="32"/>
          <w:szCs w:val="32"/>
        </w:rPr>
        <w:t>为合理、有效、规范使用专项资金，完善专项资金管理流程，确保财政性资金的安全合理使用，根据《中华人民共和国预算法》和财政部《行政单位财务规则》等有关法律、法规规定，并结合我局实际，制定有《</w:t>
      </w:r>
      <w:r>
        <w:rPr>
          <w:rFonts w:hint="eastAsia" w:ascii="仿宋" w:hAnsi="仿宋" w:eastAsia="仿宋" w:cs="仿宋"/>
          <w:sz w:val="32"/>
          <w:szCs w:val="32"/>
          <w:lang w:eastAsia="zh-CN"/>
        </w:rPr>
        <w:t>吉首市人大</w:t>
      </w:r>
      <w:r>
        <w:rPr>
          <w:rFonts w:hint="eastAsia" w:ascii="仿宋" w:hAnsi="仿宋" w:eastAsia="仿宋" w:cs="仿宋"/>
          <w:sz w:val="32"/>
          <w:szCs w:val="32"/>
        </w:rPr>
        <w:t>财务管理制度》相关管理制度。设置了专职会计和出纳，严格按照会计制度规定进行会计核算和财务处理，做到财务处理及时、会计核算规范。</w:t>
      </w:r>
    </w:p>
    <w:p w14:paraId="2E1627CA">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eastAsia="黑体"/>
          <w:sz w:val="32"/>
          <w:szCs w:val="32"/>
        </w:rPr>
      </w:pPr>
      <w:r>
        <w:rPr>
          <w:rFonts w:ascii="黑体" w:hAnsi="黑体" w:eastAsia="黑体"/>
          <w:sz w:val="32"/>
          <w:szCs w:val="32"/>
        </w:rPr>
        <w:t>三、</w:t>
      </w:r>
      <w:r>
        <w:rPr>
          <w:rFonts w:hint="eastAsia" w:ascii="黑体" w:hAnsi="黑体" w:eastAsia="黑体"/>
          <w:sz w:val="32"/>
          <w:szCs w:val="32"/>
        </w:rPr>
        <w:t>项目</w:t>
      </w:r>
      <w:r>
        <w:rPr>
          <w:rFonts w:ascii="黑体" w:hAnsi="黑体" w:eastAsia="黑体"/>
          <w:sz w:val="32"/>
          <w:szCs w:val="32"/>
        </w:rPr>
        <w:t>组织实施情况</w:t>
      </w:r>
    </w:p>
    <w:p w14:paraId="59BFB5F4">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_GB2312" w:eastAsia="仿宋_GB2312"/>
          <w:sz w:val="32"/>
          <w:szCs w:val="32"/>
          <w:lang w:eastAsia="zh-CN"/>
        </w:rPr>
        <w:t>（一）</w:t>
      </w:r>
      <w:r>
        <w:rPr>
          <w:rFonts w:ascii="仿宋_GB2312" w:eastAsia="仿宋_GB2312"/>
          <w:sz w:val="32"/>
          <w:szCs w:val="32"/>
        </w:rPr>
        <w:t>项目组织情况，主要包括项目招投标、调整、竣工验收等情况。</w:t>
      </w:r>
    </w:p>
    <w:p w14:paraId="403BB23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项目由我单位自行组织实施</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该项目实施过程严格按照时间进度组织实施。项目目标设定依据充分、明确、合理，项目实施过程中，再根据实际情况制定相应的措施。实现了项目管理与过程管理的有机结合。实施项目过程执行相关的管理制度。实施过程中按照实际发生的业务量支付。</w:t>
      </w:r>
    </w:p>
    <w:p w14:paraId="5959BAF7">
      <w:pPr>
        <w:pStyle w:val="2"/>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_GB2312" w:eastAsia="仿宋_GB2312"/>
          <w:sz w:val="32"/>
          <w:szCs w:val="32"/>
        </w:rPr>
        <w:t>（二）项目</w:t>
      </w:r>
      <w:r>
        <w:rPr>
          <w:rFonts w:ascii="仿宋_GB2312" w:eastAsia="仿宋_GB2312"/>
          <w:sz w:val="32"/>
          <w:szCs w:val="32"/>
        </w:rPr>
        <w:t>管理情况，主要包括项目管理制度建设、日常检查监督管理等情况。</w:t>
      </w:r>
    </w:p>
    <w:p w14:paraId="7872C2B2">
      <w:pPr>
        <w:pStyle w:val="2"/>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绩效标准主要为计划标准，即以预先制定的目标、计划等数据作为绩效评价的标准。评价方法主要采用比较法，通过对绩效目标与实施结果的比较，综合分析绩效目标实现程度。本项目年初预算安排</w:t>
      </w:r>
      <w:r>
        <w:rPr>
          <w:rFonts w:hint="eastAsia" w:ascii="仿宋" w:hAnsi="仿宋" w:eastAsia="仿宋" w:cs="仿宋"/>
          <w:i w:val="0"/>
          <w:iCs w:val="0"/>
          <w:caps w:val="0"/>
          <w:color w:val="333333"/>
          <w:spacing w:val="0"/>
          <w:sz w:val="32"/>
          <w:szCs w:val="32"/>
          <w:shd w:val="clear" w:fill="FFFFFF"/>
          <w:lang w:val="en-US" w:eastAsia="zh-CN"/>
        </w:rPr>
        <w:t>48</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i w:val="0"/>
          <w:iCs w:val="0"/>
          <w:caps w:val="0"/>
          <w:color w:val="333333"/>
          <w:spacing w:val="0"/>
          <w:sz w:val="32"/>
          <w:szCs w:val="32"/>
          <w:shd w:val="clear" w:fill="FFFFFF"/>
          <w:lang w:eastAsia="zh-CN"/>
        </w:rPr>
        <w:t>财政追加</w:t>
      </w:r>
      <w:r>
        <w:rPr>
          <w:rFonts w:hint="eastAsia" w:ascii="仿宋" w:hAnsi="仿宋" w:eastAsia="仿宋" w:cs="仿宋"/>
          <w:i w:val="0"/>
          <w:iCs w:val="0"/>
          <w:caps w:val="0"/>
          <w:color w:val="333333"/>
          <w:spacing w:val="0"/>
          <w:sz w:val="32"/>
          <w:szCs w:val="32"/>
          <w:shd w:val="clear" w:fill="FFFFFF"/>
          <w:lang w:val="en-US" w:eastAsia="zh-CN"/>
        </w:rPr>
        <w:t>32万元，</w:t>
      </w:r>
      <w:r>
        <w:rPr>
          <w:rFonts w:hint="eastAsia" w:ascii="仿宋" w:hAnsi="仿宋" w:eastAsia="仿宋" w:cs="仿宋"/>
          <w:i w:val="0"/>
          <w:iCs w:val="0"/>
          <w:caps w:val="0"/>
          <w:color w:val="333333"/>
          <w:spacing w:val="0"/>
          <w:sz w:val="32"/>
          <w:szCs w:val="32"/>
          <w:shd w:val="clear" w:fill="FFFFFF"/>
        </w:rPr>
        <w:t>资金来源为一般预算拨款。截止12月31日，共计划支出</w:t>
      </w:r>
      <w:r>
        <w:rPr>
          <w:rFonts w:hint="eastAsia" w:ascii="仿宋" w:hAnsi="仿宋" w:eastAsia="仿宋" w:cs="仿宋"/>
          <w:i w:val="0"/>
          <w:iCs w:val="0"/>
          <w:caps w:val="0"/>
          <w:color w:val="333333"/>
          <w:spacing w:val="0"/>
          <w:sz w:val="32"/>
          <w:szCs w:val="32"/>
          <w:shd w:val="clear" w:fill="FFFFFF"/>
          <w:lang w:val="en-US" w:eastAsia="zh-CN"/>
        </w:rPr>
        <w:t>80</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i w:val="0"/>
          <w:iCs w:val="0"/>
          <w:caps w:val="0"/>
          <w:color w:val="333333"/>
          <w:spacing w:val="0"/>
          <w:sz w:val="32"/>
          <w:szCs w:val="32"/>
          <w:shd w:val="clear" w:fill="FFFFFF"/>
          <w:lang w:val="en-US" w:eastAsia="zh-CN"/>
        </w:rPr>
        <w:t>，</w:t>
      </w:r>
      <w:r>
        <w:rPr>
          <w:rFonts w:hint="eastAsia" w:ascii="仿宋" w:hAnsi="仿宋" w:eastAsia="仿宋" w:cs="仿宋"/>
          <w:i w:val="0"/>
          <w:iCs w:val="0"/>
          <w:caps w:val="0"/>
          <w:color w:val="333333"/>
          <w:spacing w:val="0"/>
          <w:sz w:val="32"/>
          <w:szCs w:val="32"/>
          <w:shd w:val="clear" w:fill="FFFFFF"/>
        </w:rPr>
        <w:t>按照实际发生的业务量支付。20</w:t>
      </w:r>
      <w:r>
        <w:rPr>
          <w:rFonts w:hint="eastAsia" w:ascii="仿宋" w:hAnsi="仿宋" w:eastAsia="仿宋" w:cs="仿宋"/>
          <w:i w:val="0"/>
          <w:iCs w:val="0"/>
          <w:caps w:val="0"/>
          <w:color w:val="333333"/>
          <w:spacing w:val="0"/>
          <w:sz w:val="32"/>
          <w:szCs w:val="32"/>
          <w:shd w:val="clear" w:fill="FFFFFF"/>
          <w:lang w:val="en-US" w:eastAsia="zh-CN"/>
        </w:rPr>
        <w:t>21</w:t>
      </w:r>
      <w:r>
        <w:rPr>
          <w:rFonts w:hint="eastAsia" w:ascii="仿宋" w:hAnsi="仿宋" w:eastAsia="仿宋" w:cs="仿宋"/>
          <w:i w:val="0"/>
          <w:iCs w:val="0"/>
          <w:caps w:val="0"/>
          <w:color w:val="333333"/>
          <w:spacing w:val="0"/>
          <w:sz w:val="32"/>
          <w:szCs w:val="32"/>
          <w:shd w:val="clear" w:fill="FFFFFF"/>
        </w:rPr>
        <w:t>年人大会议经费所有资金均专款专用。项目支出有相关的授权审批，资金拨付严格审批程序，使用规范，会计核算结果真实、准确。建立健全项目实施预算方案、财务管理制度和会计核算制度，此次绩效评价过程中未发现挪用项目资金的情况。</w:t>
      </w:r>
    </w:p>
    <w:p w14:paraId="678425A8">
      <w:pPr>
        <w:pStyle w:val="2"/>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eastAsia="黑体"/>
          <w:sz w:val="32"/>
          <w:szCs w:val="32"/>
        </w:rPr>
      </w:pPr>
      <w:r>
        <w:rPr>
          <w:rFonts w:ascii="黑体" w:hAnsi="黑体" w:eastAsia="黑体"/>
          <w:sz w:val="32"/>
          <w:szCs w:val="32"/>
        </w:rPr>
        <w:t>四、</w:t>
      </w:r>
      <w:r>
        <w:rPr>
          <w:rFonts w:hint="eastAsia" w:ascii="黑体" w:hAnsi="黑体" w:eastAsia="黑体"/>
          <w:sz w:val="32"/>
          <w:szCs w:val="32"/>
        </w:rPr>
        <w:t>项目</w:t>
      </w:r>
      <w:r>
        <w:rPr>
          <w:rFonts w:ascii="黑体" w:hAnsi="黑体" w:eastAsia="黑体"/>
          <w:sz w:val="32"/>
          <w:szCs w:val="32"/>
        </w:rPr>
        <w:t>支出绩效情况</w:t>
      </w:r>
    </w:p>
    <w:p w14:paraId="6843FAD1">
      <w:pPr>
        <w:pStyle w:val="2"/>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ascii="仿宋_GB2312" w:eastAsia="仿宋_GB2312"/>
          <w:sz w:val="32"/>
          <w:szCs w:val="32"/>
        </w:rPr>
      </w:pPr>
      <w:r>
        <w:rPr>
          <w:rFonts w:hint="eastAsia" w:ascii="仿宋" w:hAnsi="仿宋" w:eastAsia="仿宋" w:cs="仿宋"/>
          <w:i w:val="0"/>
          <w:iCs w:val="0"/>
          <w:caps w:val="0"/>
          <w:color w:val="000000"/>
          <w:spacing w:val="0"/>
          <w:sz w:val="32"/>
          <w:szCs w:val="32"/>
          <w:shd w:val="clear" w:fill="FFFFFF"/>
          <w:lang w:eastAsia="zh-CN"/>
        </w:rPr>
        <w:t>（一）</w:t>
      </w:r>
      <w:r>
        <w:rPr>
          <w:rFonts w:hint="eastAsia" w:ascii="仿宋_GB2312" w:eastAsia="仿宋_GB2312"/>
          <w:sz w:val="32"/>
          <w:szCs w:val="32"/>
        </w:rPr>
        <w:t>项目</w:t>
      </w:r>
      <w:r>
        <w:rPr>
          <w:rFonts w:ascii="仿宋_GB2312" w:eastAsia="仿宋_GB2312"/>
          <w:sz w:val="32"/>
          <w:szCs w:val="32"/>
        </w:rPr>
        <w:t>支出决策情况。</w:t>
      </w:r>
    </w:p>
    <w:p w14:paraId="7B8DCC3C">
      <w:pPr>
        <w:pStyle w:val="2"/>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i w:val="0"/>
          <w:iCs w:val="0"/>
          <w:caps w:val="0"/>
          <w:color w:val="FF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根据现场评价，吉首市人大会议费项目资金，</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全部按照吉首市党政机关会议费管理办法要求执行，符合市人大的年度工作计划的主要目标任务要求，项目决策依据充分，符合评价标准。</w:t>
      </w:r>
    </w:p>
    <w:p w14:paraId="18A9288C">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项目</w:t>
      </w:r>
      <w:r>
        <w:rPr>
          <w:rFonts w:ascii="仿宋_GB2312" w:eastAsia="仿宋_GB2312"/>
          <w:sz w:val="32"/>
          <w:szCs w:val="32"/>
        </w:rPr>
        <w:t>支出过程情况。</w:t>
      </w:r>
    </w:p>
    <w:p w14:paraId="77A1A75B">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eastAsia="仿宋_GB2312"/>
          <w:sz w:val="32"/>
          <w:szCs w:val="32"/>
        </w:rPr>
      </w:pPr>
      <w:r>
        <w:rPr>
          <w:rFonts w:hint="eastAsia" w:ascii="仿宋" w:hAnsi="仿宋" w:eastAsia="仿宋" w:cs="仿宋"/>
          <w:i w:val="0"/>
          <w:iCs w:val="0"/>
          <w:caps w:val="0"/>
          <w:color w:val="000000"/>
          <w:spacing w:val="0"/>
          <w:sz w:val="32"/>
          <w:szCs w:val="32"/>
          <w:shd w:val="clear" w:fill="FFFFFF"/>
        </w:rPr>
        <w:t>本单位在项目实施过程中，严格按照相关支出标准，在厉行节约的基础上，做到及时、足额支出，加强资金绩效管理，要求各部委按年初工作目标和方案进行资金管理和报账，实现了支出质量的全方位保障。</w:t>
      </w:r>
    </w:p>
    <w:p w14:paraId="2E6F2A46">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项目</w:t>
      </w:r>
      <w:r>
        <w:rPr>
          <w:rFonts w:ascii="仿宋_GB2312" w:eastAsia="仿宋_GB2312"/>
          <w:sz w:val="32"/>
          <w:szCs w:val="32"/>
        </w:rPr>
        <w:t>支出产出情况。</w:t>
      </w:r>
    </w:p>
    <w:p w14:paraId="75DE1C1D">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sz w:val="32"/>
          <w:szCs w:val="32"/>
          <w:lang w:val="en-US" w:eastAsia="zh-CN"/>
        </w:rPr>
        <w:t>全年</w:t>
      </w:r>
      <w:r>
        <w:rPr>
          <w:rFonts w:hint="eastAsia" w:ascii="仿宋" w:hAnsi="仿宋" w:eastAsia="仿宋" w:cs="仿宋"/>
          <w:i w:val="0"/>
          <w:caps w:val="0"/>
          <w:color w:val="000000"/>
          <w:spacing w:val="0"/>
          <w:sz w:val="32"/>
          <w:szCs w:val="32"/>
        </w:rPr>
        <w:t>召开人民代表大会</w:t>
      </w:r>
      <w:r>
        <w:rPr>
          <w:rFonts w:hint="eastAsia" w:ascii="仿宋" w:hAnsi="仿宋" w:eastAsia="仿宋" w:cs="仿宋"/>
          <w:i w:val="0"/>
          <w:caps w:val="0"/>
          <w:color w:val="000000"/>
          <w:spacing w:val="0"/>
          <w:sz w:val="32"/>
          <w:szCs w:val="32"/>
          <w:lang w:val="en-US" w:eastAsia="zh-CN"/>
        </w:rPr>
        <w:t>2</w:t>
      </w:r>
      <w:r>
        <w:rPr>
          <w:rFonts w:hint="eastAsia" w:ascii="仿宋" w:hAnsi="仿宋" w:eastAsia="仿宋" w:cs="仿宋"/>
          <w:i w:val="0"/>
          <w:caps w:val="0"/>
          <w:color w:val="000000"/>
          <w:spacing w:val="0"/>
          <w:sz w:val="32"/>
          <w:szCs w:val="32"/>
        </w:rPr>
        <w:t>次</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sz w:val="32"/>
          <w:szCs w:val="32"/>
          <w:lang w:val="en-US" w:eastAsia="zh-CN"/>
        </w:rPr>
        <w:t>常委会会议10次，主任会议18次，</w:t>
      </w:r>
      <w:r>
        <w:rPr>
          <w:rFonts w:hint="eastAsia" w:ascii="仿宋" w:hAnsi="仿宋" w:eastAsia="仿宋" w:cs="仿宋"/>
          <w:i w:val="0"/>
          <w:caps w:val="0"/>
          <w:color w:val="000000"/>
          <w:spacing w:val="0"/>
          <w:sz w:val="32"/>
          <w:szCs w:val="32"/>
        </w:rPr>
        <w:t>听取和</w:t>
      </w:r>
      <w:r>
        <w:rPr>
          <w:rFonts w:hint="eastAsia" w:ascii="仿宋" w:hAnsi="仿宋" w:eastAsia="仿宋" w:cs="仿宋"/>
          <w:i w:val="0"/>
          <w:iCs w:val="0"/>
          <w:caps w:val="0"/>
          <w:color w:val="000000"/>
          <w:spacing w:val="0"/>
          <w:sz w:val="32"/>
          <w:szCs w:val="32"/>
          <w:shd w:val="clear" w:fill="FFFFFF"/>
        </w:rPr>
        <w:t>审议</w:t>
      </w:r>
      <w:r>
        <w:rPr>
          <w:rFonts w:hint="eastAsia" w:ascii="仿宋" w:hAnsi="仿宋" w:eastAsia="仿宋" w:cs="仿宋"/>
          <w:i w:val="0"/>
          <w:caps w:val="0"/>
          <w:color w:val="000000"/>
          <w:spacing w:val="0"/>
          <w:sz w:val="32"/>
          <w:szCs w:val="32"/>
        </w:rPr>
        <w:t>“一府</w:t>
      </w:r>
      <w:r>
        <w:rPr>
          <w:rFonts w:hint="eastAsia" w:ascii="仿宋" w:hAnsi="仿宋" w:eastAsia="仿宋" w:cs="仿宋"/>
          <w:i w:val="0"/>
          <w:caps w:val="0"/>
          <w:color w:val="000000"/>
          <w:spacing w:val="0"/>
          <w:sz w:val="32"/>
          <w:szCs w:val="32"/>
          <w:lang w:eastAsia="zh-CN"/>
        </w:rPr>
        <w:t>一委</w:t>
      </w:r>
      <w:r>
        <w:rPr>
          <w:rFonts w:hint="eastAsia" w:ascii="仿宋" w:hAnsi="仿宋" w:eastAsia="仿宋" w:cs="仿宋"/>
          <w:i w:val="0"/>
          <w:caps w:val="0"/>
          <w:color w:val="000000"/>
          <w:spacing w:val="0"/>
          <w:sz w:val="32"/>
          <w:szCs w:val="32"/>
        </w:rPr>
        <w:t>两院”工作报告</w:t>
      </w:r>
      <w:r>
        <w:rPr>
          <w:rFonts w:hint="eastAsia" w:ascii="仿宋" w:hAnsi="仿宋" w:eastAsia="仿宋" w:cs="仿宋"/>
          <w:i w:val="0"/>
          <w:caps w:val="0"/>
          <w:color w:val="000000"/>
          <w:spacing w:val="0"/>
          <w:sz w:val="32"/>
          <w:szCs w:val="32"/>
          <w:lang w:val="en-US" w:eastAsia="zh-CN"/>
        </w:rPr>
        <w:t>15</w:t>
      </w:r>
      <w:r>
        <w:rPr>
          <w:rFonts w:hint="eastAsia" w:ascii="仿宋" w:hAnsi="仿宋" w:eastAsia="仿宋" w:cs="仿宋"/>
          <w:i w:val="0"/>
          <w:caps w:val="0"/>
          <w:color w:val="000000"/>
          <w:spacing w:val="0"/>
          <w:sz w:val="32"/>
          <w:szCs w:val="32"/>
        </w:rPr>
        <w:t>个，开展执法检查</w:t>
      </w:r>
      <w:r>
        <w:rPr>
          <w:rFonts w:hint="eastAsia" w:ascii="仿宋" w:hAnsi="仿宋" w:eastAsia="仿宋" w:cs="仿宋"/>
          <w:i w:val="0"/>
          <w:caps w:val="0"/>
          <w:color w:val="000000"/>
          <w:spacing w:val="0"/>
          <w:sz w:val="32"/>
          <w:szCs w:val="32"/>
          <w:lang w:val="en-US" w:eastAsia="zh-CN"/>
        </w:rPr>
        <w:t>2</w:t>
      </w:r>
      <w:r>
        <w:rPr>
          <w:rFonts w:hint="eastAsia" w:ascii="仿宋" w:hAnsi="仿宋" w:eastAsia="仿宋" w:cs="仿宋"/>
          <w:i w:val="0"/>
          <w:caps w:val="0"/>
          <w:color w:val="000000"/>
          <w:spacing w:val="0"/>
          <w:sz w:val="32"/>
          <w:szCs w:val="32"/>
        </w:rPr>
        <w:t>次，提出审议意见</w:t>
      </w:r>
      <w:r>
        <w:rPr>
          <w:rFonts w:hint="eastAsia" w:ascii="仿宋" w:hAnsi="仿宋" w:eastAsia="仿宋" w:cs="仿宋"/>
          <w:i w:val="0"/>
          <w:caps w:val="0"/>
          <w:color w:val="000000"/>
          <w:spacing w:val="0"/>
          <w:sz w:val="32"/>
          <w:szCs w:val="32"/>
          <w:lang w:val="en-US" w:eastAsia="zh-CN"/>
        </w:rPr>
        <w:t>13</w:t>
      </w:r>
      <w:r>
        <w:rPr>
          <w:rFonts w:hint="eastAsia" w:ascii="仿宋" w:hAnsi="仿宋" w:eastAsia="仿宋" w:cs="仿宋"/>
          <w:i w:val="0"/>
          <w:caps w:val="0"/>
          <w:color w:val="000000"/>
          <w:spacing w:val="0"/>
          <w:sz w:val="32"/>
          <w:szCs w:val="32"/>
        </w:rPr>
        <w:t>项，</w:t>
      </w:r>
      <w:r>
        <w:rPr>
          <w:rFonts w:hint="eastAsia" w:ascii="仿宋" w:hAnsi="仿宋" w:eastAsia="仿宋" w:cs="仿宋"/>
          <w:color w:val="000000"/>
          <w:kern w:val="2"/>
          <w:sz w:val="32"/>
          <w:szCs w:val="32"/>
          <w:lang w:val="en-US" w:eastAsia="zh-CN" w:bidi="ar-SA"/>
        </w:rPr>
        <w:t>扎实做好市十届人大代表换届选举工作，依法选举产生市人大代表203名，乡（镇）人大代表335名,圆满完成我市市乡两级人大代表换届选举任务。加强对乡镇新一届人民代表大会第一次会议指导，依法选举产生乡镇新一届人大、政府领导班子成员36名</w:t>
      </w:r>
    </w:p>
    <w:p w14:paraId="35FA4A94">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pPr>
      <w:r>
        <w:rPr>
          <w:rFonts w:ascii="仿宋_GB2312" w:eastAsia="仿宋_GB2312"/>
          <w:sz w:val="32"/>
          <w:szCs w:val="32"/>
        </w:rPr>
        <w:t>（四）</w:t>
      </w:r>
      <w:r>
        <w:rPr>
          <w:rFonts w:hint="eastAsia" w:ascii="仿宋_GB2312" w:eastAsia="仿宋_GB2312"/>
          <w:sz w:val="32"/>
          <w:szCs w:val="32"/>
        </w:rPr>
        <w:t>项目</w:t>
      </w:r>
      <w:r>
        <w:rPr>
          <w:rFonts w:ascii="仿宋_GB2312" w:eastAsia="仿宋_GB2312"/>
          <w:sz w:val="32"/>
          <w:szCs w:val="32"/>
        </w:rPr>
        <w:t>支出效益情况。</w:t>
      </w:r>
    </w:p>
    <w:p w14:paraId="050A59C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323232"/>
          <w:sz w:val="32"/>
          <w:szCs w:val="32"/>
          <w:shd w:val="clear" w:color="auto" w:fill="FFFFFF"/>
        </w:rPr>
        <w:t>吉首市第十届人民代表大会第</w:t>
      </w:r>
      <w:r>
        <w:rPr>
          <w:rFonts w:hint="eastAsia" w:ascii="仿宋" w:hAnsi="仿宋" w:eastAsia="仿宋" w:cs="仿宋"/>
          <w:color w:val="323232"/>
          <w:sz w:val="32"/>
          <w:szCs w:val="32"/>
          <w:shd w:val="clear" w:color="auto" w:fill="FFFFFF"/>
          <w:lang w:eastAsia="zh-CN"/>
        </w:rPr>
        <w:t>七</w:t>
      </w:r>
      <w:r>
        <w:rPr>
          <w:rFonts w:hint="eastAsia" w:ascii="仿宋" w:hAnsi="仿宋" w:eastAsia="仿宋" w:cs="仿宋"/>
          <w:color w:val="323232"/>
          <w:sz w:val="32"/>
          <w:szCs w:val="32"/>
          <w:shd w:val="clear" w:color="auto" w:fill="FFFFFF"/>
        </w:rPr>
        <w:t>次会议</w:t>
      </w:r>
      <w:r>
        <w:rPr>
          <w:rFonts w:hint="eastAsia" w:ascii="仿宋" w:hAnsi="仿宋" w:eastAsia="仿宋" w:cs="仿宋"/>
          <w:color w:val="323232"/>
          <w:sz w:val="32"/>
          <w:szCs w:val="32"/>
          <w:shd w:val="clear" w:color="auto" w:fill="FFFFFF"/>
          <w:lang w:eastAsia="zh-CN"/>
        </w:rPr>
        <w:t>、第八次会议</w:t>
      </w:r>
      <w:r>
        <w:rPr>
          <w:rFonts w:hint="eastAsia" w:ascii="仿宋" w:hAnsi="仿宋" w:eastAsia="仿宋" w:cs="仿宋"/>
          <w:color w:val="323232"/>
          <w:sz w:val="32"/>
          <w:szCs w:val="32"/>
          <w:shd w:val="clear" w:color="auto" w:fill="FFFFFF"/>
        </w:rPr>
        <w:t>的胜利召开，总结了吉首市20</w:t>
      </w:r>
      <w:r>
        <w:rPr>
          <w:rFonts w:hint="eastAsia" w:ascii="仿宋" w:hAnsi="仿宋" w:eastAsia="仿宋" w:cs="仿宋"/>
          <w:color w:val="323232"/>
          <w:sz w:val="32"/>
          <w:szCs w:val="32"/>
          <w:shd w:val="clear" w:color="auto" w:fill="FFFFFF"/>
          <w:lang w:val="en-US" w:eastAsia="zh-CN"/>
        </w:rPr>
        <w:t>21</w:t>
      </w:r>
      <w:r>
        <w:rPr>
          <w:rFonts w:hint="eastAsia" w:ascii="仿宋" w:hAnsi="仿宋" w:eastAsia="仿宋" w:cs="仿宋"/>
          <w:color w:val="323232"/>
          <w:sz w:val="32"/>
          <w:szCs w:val="32"/>
          <w:shd w:val="clear" w:color="auto" w:fill="FFFFFF"/>
        </w:rPr>
        <w:t>年经济建设取得的成绩，规划了202</w:t>
      </w:r>
      <w:r>
        <w:rPr>
          <w:rFonts w:hint="eastAsia" w:ascii="仿宋" w:hAnsi="仿宋" w:eastAsia="仿宋" w:cs="仿宋"/>
          <w:color w:val="323232"/>
          <w:sz w:val="32"/>
          <w:szCs w:val="32"/>
          <w:shd w:val="clear" w:color="auto" w:fill="FFFFFF"/>
          <w:lang w:val="en-US" w:eastAsia="zh-CN"/>
        </w:rPr>
        <w:t>2</w:t>
      </w:r>
      <w:r>
        <w:rPr>
          <w:rFonts w:hint="eastAsia" w:ascii="仿宋" w:hAnsi="仿宋" w:eastAsia="仿宋" w:cs="仿宋"/>
          <w:color w:val="323232"/>
          <w:sz w:val="32"/>
          <w:szCs w:val="32"/>
          <w:shd w:val="clear" w:color="auto" w:fill="FFFFFF"/>
        </w:rPr>
        <w:t>年度主要社会发展目标，</w:t>
      </w:r>
      <w:r>
        <w:rPr>
          <w:rFonts w:hint="eastAsia" w:ascii="仿宋" w:hAnsi="仿宋" w:eastAsia="仿宋" w:cs="仿宋"/>
          <w:i w:val="0"/>
          <w:caps w:val="0"/>
          <w:color w:val="000000"/>
          <w:spacing w:val="0"/>
          <w:kern w:val="0"/>
          <w:sz w:val="32"/>
          <w:szCs w:val="32"/>
          <w:shd w:val="clear" w:fill="FFFFFF"/>
          <w:vertAlign w:val="baseline"/>
          <w:lang w:val="en-US" w:eastAsia="zh-CN" w:bidi="ar"/>
        </w:rPr>
        <w:t>听取和审议2021年1－6月国民经济和社会发展计划执行情况报告，2020年财政决算和2021年1－6月预算执行情况的报告、</w:t>
      </w:r>
      <w:r>
        <w:rPr>
          <w:rFonts w:hint="eastAsia" w:ascii="仿宋" w:hAnsi="仿宋" w:eastAsia="仿宋" w:cs="仿宋"/>
          <w:color w:val="000000"/>
          <w:spacing w:val="-6"/>
          <w:sz w:val="32"/>
          <w:szCs w:val="32"/>
        </w:rPr>
        <w:t>20</w:t>
      </w:r>
      <w:r>
        <w:rPr>
          <w:rFonts w:hint="eastAsia" w:ascii="仿宋" w:hAnsi="仿宋" w:eastAsia="仿宋" w:cs="仿宋"/>
          <w:color w:val="000000"/>
          <w:spacing w:val="-6"/>
          <w:sz w:val="32"/>
          <w:szCs w:val="32"/>
          <w:lang w:val="en-US" w:eastAsia="zh-CN"/>
        </w:rPr>
        <w:t>20</w:t>
      </w:r>
      <w:r>
        <w:rPr>
          <w:rFonts w:hint="eastAsia" w:ascii="仿宋" w:hAnsi="仿宋" w:eastAsia="仿宋" w:cs="仿宋"/>
          <w:color w:val="000000"/>
          <w:spacing w:val="-6"/>
          <w:sz w:val="32"/>
          <w:szCs w:val="32"/>
        </w:rPr>
        <w:t>年度本级财政预算执行审计结果和审计工作的报告</w:t>
      </w:r>
      <w:r>
        <w:rPr>
          <w:rFonts w:hint="eastAsia" w:ascii="仿宋" w:hAnsi="仿宋" w:eastAsia="仿宋" w:cs="仿宋"/>
          <w:i w:val="0"/>
          <w:caps w:val="0"/>
          <w:color w:val="000000"/>
          <w:spacing w:val="0"/>
          <w:kern w:val="0"/>
          <w:sz w:val="32"/>
          <w:szCs w:val="32"/>
          <w:shd w:val="clear" w:fill="FFFFFF"/>
          <w:vertAlign w:val="baseline"/>
          <w:lang w:val="en-US" w:eastAsia="zh-CN" w:bidi="ar"/>
        </w:rPr>
        <w:t>，审查和批准了2021年预算调整方案，促进经济运行质量和效益不断提高；听取和审议国有资产管理情况的综合报告，审议</w:t>
      </w:r>
      <w:r>
        <w:rPr>
          <w:rFonts w:hint="eastAsia" w:ascii="仿宋" w:hAnsi="仿宋" w:eastAsia="仿宋" w:cs="仿宋"/>
          <w:sz w:val="32"/>
          <w:szCs w:val="32"/>
        </w:rPr>
        <w:t>企业</w:t>
      </w:r>
      <w:r>
        <w:rPr>
          <w:rFonts w:hint="eastAsia" w:ascii="仿宋" w:hAnsi="仿宋" w:eastAsia="仿宋" w:cs="仿宋"/>
          <w:sz w:val="32"/>
          <w:szCs w:val="32"/>
          <w:lang w:eastAsia="zh-CN"/>
        </w:rPr>
        <w:t>、</w:t>
      </w:r>
      <w:r>
        <w:rPr>
          <w:rFonts w:hint="eastAsia" w:ascii="仿宋" w:hAnsi="仿宋" w:eastAsia="仿宋" w:cs="仿宋"/>
          <w:kern w:val="0"/>
          <w:sz w:val="32"/>
          <w:szCs w:val="32"/>
        </w:rPr>
        <w:t>行政事业性国有资产管理</w:t>
      </w:r>
      <w:r>
        <w:rPr>
          <w:rFonts w:hint="eastAsia" w:ascii="仿宋" w:hAnsi="仿宋" w:eastAsia="仿宋" w:cs="仿宋"/>
          <w:kern w:val="0"/>
          <w:sz w:val="32"/>
          <w:szCs w:val="32"/>
          <w:lang w:eastAsia="zh-CN"/>
        </w:rPr>
        <w:t>、</w:t>
      </w:r>
      <w:r>
        <w:rPr>
          <w:rFonts w:hint="eastAsia" w:ascii="仿宋" w:hAnsi="仿宋" w:eastAsia="仿宋" w:cs="仿宋"/>
          <w:sz w:val="32"/>
          <w:szCs w:val="32"/>
        </w:rPr>
        <w:t>国有自然资源资产管理情况</w:t>
      </w:r>
      <w:r>
        <w:rPr>
          <w:rFonts w:hint="eastAsia" w:ascii="仿宋" w:hAnsi="仿宋" w:eastAsia="仿宋" w:cs="仿宋"/>
          <w:sz w:val="32"/>
          <w:szCs w:val="32"/>
          <w:lang w:eastAsia="zh-CN"/>
        </w:rPr>
        <w:t>报告，</w:t>
      </w:r>
      <w:r>
        <w:rPr>
          <w:rFonts w:hint="eastAsia" w:ascii="仿宋" w:hAnsi="仿宋" w:eastAsia="仿宋" w:cs="仿宋"/>
          <w:i w:val="0"/>
          <w:caps w:val="0"/>
          <w:color w:val="000000"/>
          <w:spacing w:val="0"/>
          <w:kern w:val="0"/>
          <w:sz w:val="32"/>
          <w:szCs w:val="32"/>
          <w:shd w:val="clear" w:fill="FFFFFF"/>
          <w:vertAlign w:val="baseline"/>
          <w:lang w:val="en-US" w:eastAsia="zh-CN" w:bidi="ar"/>
        </w:rPr>
        <w:t>提出要</w:t>
      </w:r>
      <w:r>
        <w:rPr>
          <w:rFonts w:hint="eastAsia" w:ascii="仿宋" w:hAnsi="仿宋" w:eastAsia="仿宋" w:cs="仿宋"/>
          <w:sz w:val="32"/>
          <w:szCs w:val="32"/>
        </w:rPr>
        <w:t>加快完善国有资产管理体制机制，全面提升国企国资改革综合成效</w:t>
      </w:r>
      <w:r>
        <w:rPr>
          <w:rFonts w:hint="eastAsia" w:ascii="仿宋" w:hAnsi="仿宋" w:eastAsia="仿宋" w:cs="仿宋"/>
          <w:sz w:val="32"/>
          <w:szCs w:val="32"/>
          <w:lang w:eastAsia="zh-CN"/>
        </w:rPr>
        <w:t>，</w:t>
      </w:r>
      <w:r>
        <w:rPr>
          <w:rFonts w:hint="eastAsia" w:ascii="仿宋" w:hAnsi="仿宋" w:eastAsia="仿宋" w:cs="仿宋"/>
          <w:sz w:val="32"/>
          <w:szCs w:val="32"/>
        </w:rPr>
        <w:t>着力促进资产管理提质增效</w:t>
      </w:r>
      <w:r>
        <w:rPr>
          <w:rFonts w:hint="eastAsia" w:ascii="仿宋" w:hAnsi="仿宋" w:eastAsia="仿宋" w:cs="仿宋"/>
          <w:sz w:val="32"/>
          <w:szCs w:val="32"/>
          <w:lang w:eastAsia="zh-CN"/>
        </w:rPr>
        <w:t>，</w:t>
      </w:r>
      <w:r>
        <w:rPr>
          <w:rFonts w:hint="eastAsia" w:ascii="仿宋" w:hAnsi="仿宋" w:eastAsia="仿宋" w:cs="仿宋"/>
          <w:sz w:val="32"/>
          <w:szCs w:val="32"/>
        </w:rPr>
        <w:t>提高资源开发利用水平</w:t>
      </w:r>
      <w:r>
        <w:rPr>
          <w:rFonts w:hint="eastAsia" w:ascii="仿宋" w:hAnsi="仿宋" w:eastAsia="仿宋" w:cs="仿宋"/>
          <w:sz w:val="32"/>
          <w:szCs w:val="32"/>
          <w:lang w:eastAsia="zh-CN"/>
        </w:rPr>
        <w:t>等审议意见，</w:t>
      </w:r>
      <w:r>
        <w:rPr>
          <w:rFonts w:hint="eastAsia" w:ascii="仿宋" w:hAnsi="仿宋" w:eastAsia="仿宋" w:cs="仿宋"/>
          <w:i w:val="0"/>
          <w:caps w:val="0"/>
          <w:color w:val="000000"/>
          <w:spacing w:val="0"/>
          <w:kern w:val="0"/>
          <w:sz w:val="32"/>
          <w:szCs w:val="32"/>
          <w:shd w:val="clear" w:fill="FFFFFF"/>
          <w:vertAlign w:val="baseline"/>
          <w:lang w:val="en-US" w:eastAsia="zh-CN" w:bidi="ar"/>
        </w:rPr>
        <w:t>督促国有资产经营管理制度落实；</w:t>
      </w:r>
      <w:r>
        <w:rPr>
          <w:rFonts w:hint="eastAsia" w:ascii="仿宋" w:hAnsi="仿宋" w:eastAsia="仿宋" w:cs="仿宋"/>
          <w:color w:val="000000"/>
          <w:kern w:val="2"/>
          <w:sz w:val="32"/>
          <w:szCs w:val="32"/>
          <w:lang w:val="en-US" w:eastAsia="zh-CN" w:bidi="ar-SA"/>
        </w:rPr>
        <w:t>加强审计查出问题整改情况监督，</w:t>
      </w:r>
      <w:r>
        <w:rPr>
          <w:rFonts w:hint="eastAsia" w:ascii="仿宋" w:hAnsi="仿宋" w:eastAsia="仿宋" w:cs="仿宋"/>
          <w:i w:val="0"/>
          <w:caps w:val="0"/>
          <w:color w:val="000000"/>
          <w:spacing w:val="0"/>
          <w:kern w:val="0"/>
          <w:sz w:val="32"/>
          <w:szCs w:val="32"/>
          <w:shd w:val="clear" w:fill="FFFFFF"/>
          <w:vertAlign w:val="baseline"/>
          <w:lang w:val="en-US" w:eastAsia="zh-CN" w:bidi="ar"/>
        </w:rPr>
        <w:t>对</w:t>
      </w:r>
      <w:r>
        <w:rPr>
          <w:rFonts w:hint="eastAsia" w:ascii="仿宋" w:hAnsi="仿宋" w:eastAsia="仿宋" w:cs="仿宋"/>
          <w:color w:val="000000"/>
          <w:sz w:val="32"/>
          <w:szCs w:val="32"/>
          <w:lang w:val="en-US" w:eastAsia="zh-CN"/>
        </w:rPr>
        <w:t>五年来审计查出问题整改情况进行全面回查。</w:t>
      </w:r>
    </w:p>
    <w:p w14:paraId="1A35C61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综合评价情况及评价结论</w:t>
      </w:r>
    </w:p>
    <w:p w14:paraId="5D77872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pPr>
      <w:r>
        <w:rPr>
          <w:rFonts w:hint="eastAsia" w:ascii="仿宋_GB2312" w:hAnsi="仿宋_GB2312" w:eastAsia="仿宋_GB2312" w:cs="仿宋_GB2312"/>
          <w:kern w:val="0"/>
          <w:sz w:val="32"/>
          <w:szCs w:val="32"/>
        </w:rPr>
        <w:t>吉首市人大会议</w:t>
      </w:r>
      <w:r>
        <w:rPr>
          <w:rFonts w:hint="eastAsia" w:ascii="仿宋_GB2312" w:hAnsi="仿宋_GB2312" w:cs="仿宋_GB2312"/>
          <w:kern w:val="0"/>
          <w:sz w:val="32"/>
          <w:szCs w:val="32"/>
        </w:rPr>
        <w:t>经</w:t>
      </w:r>
      <w:r>
        <w:rPr>
          <w:rFonts w:hint="eastAsia" w:ascii="仿宋_GB2312" w:hAnsi="仿宋_GB2312" w:eastAsia="仿宋_GB2312" w:cs="仿宋_GB2312"/>
          <w:kern w:val="0"/>
          <w:sz w:val="32"/>
          <w:szCs w:val="32"/>
        </w:rPr>
        <w:t>费在组织实施、项目管理、财务管理、项目完成情况各方面完成良好，</w:t>
      </w:r>
      <w:r>
        <w:rPr>
          <w:rFonts w:hint="eastAsia" w:ascii="仿宋_GB2312" w:hAnsi="仿宋_GB2312" w:eastAsia="仿宋_GB2312" w:cs="仿宋_GB2312"/>
          <w:sz w:val="32"/>
          <w:szCs w:val="32"/>
        </w:rPr>
        <w:t>未出现挪用、截留情况，</w:t>
      </w:r>
      <w:r>
        <w:rPr>
          <w:rFonts w:hint="eastAsia" w:ascii="仿宋_GB2312" w:hAnsi="仿宋_GB2312" w:eastAsia="仿宋_GB2312" w:cs="仿宋_GB2312"/>
          <w:kern w:val="0"/>
          <w:sz w:val="32"/>
          <w:szCs w:val="32"/>
        </w:rPr>
        <w:t>较好地完成了项目预定目标，</w:t>
      </w:r>
      <w:r>
        <w:rPr>
          <w:rFonts w:hint="eastAsia" w:ascii="仿宋_GB2312" w:hAnsi="仿宋_GB2312" w:eastAsia="仿宋_GB2312" w:cs="仿宋_GB2312"/>
          <w:sz w:val="32"/>
          <w:szCs w:val="32"/>
        </w:rPr>
        <w:t>项目进一步发挥了人大职能作用</w:t>
      </w:r>
      <w:r>
        <w:rPr>
          <w:rFonts w:hint="eastAsia" w:ascii="仿宋_GB2312" w:hAnsi="仿宋_GB2312" w:cs="仿宋_GB2312"/>
          <w:sz w:val="32"/>
          <w:szCs w:val="32"/>
        </w:rPr>
        <w:t>,</w:t>
      </w:r>
      <w:r>
        <w:rPr>
          <w:rFonts w:hint="eastAsia" w:ascii="仿宋_GB2312" w:hAnsi="仿宋_GB2312" w:eastAsia="仿宋_GB2312" w:cs="仿宋_GB2312"/>
          <w:sz w:val="32"/>
          <w:szCs w:val="32"/>
        </w:rPr>
        <w:t>有力推动了我市经济社会发展和民主政治建设。</w:t>
      </w:r>
      <w:r>
        <w:rPr>
          <w:rFonts w:hint="eastAsia" w:ascii="仿宋_GB2312" w:hAnsi="仿宋_GB2312" w:eastAsia="仿宋_GB2312" w:cs="仿宋_GB2312"/>
          <w:kern w:val="0"/>
          <w:sz w:val="32"/>
          <w:szCs w:val="32"/>
        </w:rPr>
        <w:t xml:space="preserve">最终评价为优秀。 </w:t>
      </w:r>
    </w:p>
    <w:p w14:paraId="270C984D">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、主要经验做法、存在的问题及原因分析</w:t>
      </w:r>
    </w:p>
    <w:p w14:paraId="668527C3">
      <w:pPr>
        <w:pStyle w:val="2"/>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pPr>
      <w:r>
        <w:rPr>
          <w:rFonts w:hint="eastAsia" w:ascii="仿宋" w:hAnsi="仿宋" w:eastAsia="仿宋" w:cs="仿宋"/>
          <w:i w:val="0"/>
          <w:iCs w:val="0"/>
          <w:caps w:val="0"/>
          <w:color w:val="4A4A4A"/>
          <w:spacing w:val="0"/>
          <w:sz w:val="32"/>
          <w:szCs w:val="32"/>
          <w:shd w:val="clear" w:fill="FFFFFF"/>
        </w:rPr>
        <w:t>根据年初部门预算的批复,加强经费使用管理，本着专款专用、高效合理的原则安排使用好项目经费。实施计划完善，流程顺畅，确保各项指标顺利完成。在资金的使用过程中，重视与涉及部门多方沟通，明确总目标，根据实际开展情况不断改善工作方法，提高工作效率。</w:t>
      </w:r>
    </w:p>
    <w:p w14:paraId="1A878503">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pPr>
      <w:r>
        <w:rPr>
          <w:rFonts w:hint="eastAsia" w:ascii="黑体" w:hAnsi="黑体" w:eastAsia="黑体"/>
          <w:sz w:val="32"/>
          <w:szCs w:val="32"/>
          <w:lang w:eastAsia="zh-CN"/>
        </w:rPr>
        <w:t>七、</w:t>
      </w:r>
      <w:r>
        <w:rPr>
          <w:rFonts w:ascii="黑体" w:hAnsi="黑体" w:eastAsia="黑体"/>
          <w:sz w:val="32"/>
          <w:szCs w:val="32"/>
        </w:rPr>
        <w:t>有关建议</w:t>
      </w:r>
    </w:p>
    <w:p w14:paraId="480B9271">
      <w:pPr>
        <w:pStyle w:val="2"/>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i w:val="0"/>
          <w:iCs w:val="0"/>
          <w:caps w:val="0"/>
          <w:color w:val="4A4A4A"/>
          <w:spacing w:val="0"/>
          <w:sz w:val="32"/>
          <w:szCs w:val="32"/>
        </w:rPr>
      </w:pPr>
      <w:r>
        <w:rPr>
          <w:rFonts w:hint="eastAsia" w:ascii="仿宋" w:hAnsi="仿宋" w:eastAsia="仿宋" w:cs="仿宋"/>
          <w:i w:val="0"/>
          <w:iCs w:val="0"/>
          <w:caps w:val="0"/>
          <w:color w:val="4A4A4A"/>
          <w:spacing w:val="0"/>
          <w:sz w:val="32"/>
          <w:szCs w:val="32"/>
          <w:shd w:val="clear" w:fill="FFFFFF"/>
          <w:lang w:eastAsia="zh-CN"/>
        </w:rPr>
        <w:t>（</w:t>
      </w:r>
      <w:r>
        <w:rPr>
          <w:rFonts w:hint="eastAsia" w:ascii="仿宋" w:hAnsi="仿宋" w:eastAsia="仿宋" w:cs="仿宋"/>
          <w:i w:val="0"/>
          <w:iCs w:val="0"/>
          <w:caps w:val="0"/>
          <w:color w:val="4A4A4A"/>
          <w:spacing w:val="0"/>
          <w:sz w:val="32"/>
          <w:szCs w:val="32"/>
          <w:shd w:val="clear" w:fill="FFFFFF"/>
        </w:rPr>
        <w:t>一）强化预算编制科学化、合理化。预算编制需根据项目的具体工作事项提出合理的预算方案，保证预算的科学性、准确性和透明度，并科学合理地安排使用经费，做到预算合理支出并按时使用，优化资源配置，提高资金使用效益。 </w:t>
      </w:r>
    </w:p>
    <w:p w14:paraId="1AA0E773">
      <w:pPr>
        <w:pStyle w:val="2"/>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i w:val="0"/>
          <w:iCs w:val="0"/>
          <w:caps w:val="0"/>
          <w:color w:val="4A4A4A"/>
          <w:spacing w:val="0"/>
          <w:sz w:val="32"/>
          <w:szCs w:val="32"/>
        </w:rPr>
      </w:pPr>
      <w:r>
        <w:rPr>
          <w:rFonts w:hint="eastAsia" w:ascii="仿宋" w:hAnsi="仿宋" w:eastAsia="仿宋" w:cs="仿宋"/>
          <w:i w:val="0"/>
          <w:iCs w:val="0"/>
          <w:caps w:val="0"/>
          <w:color w:val="4A4A4A"/>
          <w:spacing w:val="0"/>
          <w:sz w:val="32"/>
          <w:szCs w:val="32"/>
          <w:shd w:val="clear" w:fill="FFFFFF"/>
        </w:rPr>
        <w:t>（二）加强管理，完善制度，确保项目顺利实施。完善项目管理制度，规范项目申报、实施、管理、督查、验收程序，制定完善各类项目管理、经费使用、绩效考评、检查验收等制度和办法，加强对项目整个运行过程的监督管理，提高项目实施水平。 </w:t>
      </w:r>
    </w:p>
    <w:p w14:paraId="65EA6D77">
      <w:pPr>
        <w:pStyle w:val="2"/>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pPr>
      <w:r>
        <w:rPr>
          <w:rFonts w:hint="eastAsia" w:ascii="仿宋" w:hAnsi="仿宋" w:eastAsia="仿宋" w:cs="仿宋"/>
          <w:i w:val="0"/>
          <w:iCs w:val="0"/>
          <w:caps w:val="0"/>
          <w:color w:val="4A4A4A"/>
          <w:spacing w:val="0"/>
          <w:sz w:val="32"/>
          <w:szCs w:val="32"/>
          <w:shd w:val="clear" w:fill="FFFFFF"/>
        </w:rPr>
        <w:t>（三）督促检查，跟踪问效，努力提高项目资金使用效益。认真做好项目督促检查工作，既查看项目资金的使用情况，又查看项目实施的实际效果，发现问题及时帮助改进，取得经验及时总结宣传，不断提高专项资金使用效益。同时应强化项目的痕迹管理，为每个项目建立完整的档案资料库，便于对项目的管理监督和追踪问效。 </w:t>
      </w:r>
    </w:p>
    <w:p w14:paraId="70E71AD6">
      <w:pPr>
        <w:pStyle w:val="2"/>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黑体" w:hAnsi="黑体" w:eastAsia="黑体"/>
          <w:b/>
          <w:bCs/>
          <w:sz w:val="32"/>
          <w:szCs w:val="32"/>
          <w:lang w:eastAsia="zh-CN"/>
        </w:rPr>
        <w:t>八、</w:t>
      </w:r>
      <w:r>
        <w:rPr>
          <w:rFonts w:hint="eastAsia" w:ascii="黑体" w:hAnsi="黑体" w:eastAsia="黑体" w:cs="Times New Roman"/>
          <w:b/>
          <w:bCs/>
          <w:sz w:val="32"/>
          <w:szCs w:val="32"/>
        </w:rPr>
        <w:t>绩效</w:t>
      </w:r>
      <w:r>
        <w:rPr>
          <w:rFonts w:ascii="黑体" w:hAnsi="黑体" w:eastAsia="黑体"/>
          <w:b/>
          <w:bCs/>
          <w:sz w:val="32"/>
          <w:szCs w:val="32"/>
        </w:rPr>
        <w:t>自评结果拟应用和公开情况</w:t>
      </w:r>
    </w:p>
    <w:p w14:paraId="04110868">
      <w:pPr>
        <w:pStyle w:val="2"/>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pPr>
      <w:r>
        <w:rPr>
          <w:rFonts w:hint="eastAsia" w:ascii="仿宋" w:hAnsi="仿宋" w:eastAsia="仿宋" w:cs="仿宋"/>
          <w:color w:val="auto"/>
          <w:sz w:val="32"/>
          <w:szCs w:val="32"/>
        </w:rPr>
        <w:t>通过绩效自评发现的问题，要在今后的工作中进一步纠正、规范、完善。自评报告在</w:t>
      </w:r>
      <w:r>
        <w:rPr>
          <w:rFonts w:hint="eastAsia" w:ascii="仿宋" w:hAnsi="仿宋" w:eastAsia="仿宋" w:cs="仿宋"/>
          <w:color w:val="auto"/>
          <w:sz w:val="32"/>
          <w:szCs w:val="32"/>
          <w:lang w:eastAsia="zh-CN"/>
        </w:rPr>
        <w:t>吉首市人民政府</w:t>
      </w:r>
      <w:r>
        <w:rPr>
          <w:rFonts w:hint="eastAsia" w:ascii="仿宋" w:hAnsi="仿宋" w:eastAsia="仿宋" w:cs="仿宋"/>
          <w:color w:val="auto"/>
          <w:sz w:val="32"/>
          <w:szCs w:val="32"/>
        </w:rPr>
        <w:t>门户网站上公开。</w:t>
      </w:r>
    </w:p>
    <w:p w14:paraId="4628A719">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九</w:t>
      </w:r>
      <w:r>
        <w:rPr>
          <w:rFonts w:ascii="黑体" w:hAnsi="黑体" w:eastAsia="黑体"/>
          <w:sz w:val="32"/>
          <w:szCs w:val="32"/>
        </w:rPr>
        <w:t>、其他需要说明的问题</w:t>
      </w:r>
    </w:p>
    <w:p w14:paraId="5F6E3FD5">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eastAsia="仿宋_GB2312"/>
          <w:sz w:val="32"/>
          <w:szCs w:val="32"/>
          <w:lang w:eastAsia="zh-CN"/>
        </w:rPr>
      </w:pPr>
      <w:r>
        <w:rPr>
          <w:rFonts w:eastAsia="仿宋_GB2312"/>
          <w:sz w:val="32"/>
          <w:szCs w:val="32"/>
        </w:rPr>
        <w:t xml:space="preserve"> </w:t>
      </w:r>
      <w:r>
        <w:rPr>
          <w:rFonts w:hint="eastAsia" w:eastAsia="仿宋_GB2312"/>
          <w:sz w:val="32"/>
          <w:szCs w:val="32"/>
          <w:lang w:eastAsia="zh-CN"/>
        </w:rPr>
        <w:t>无</w:t>
      </w:r>
    </w:p>
    <w:p w14:paraId="03F3D889">
      <w:pPr>
        <w:spacing w:line="600" w:lineRule="exact"/>
        <w:ind w:left="1118" w:leftChars="304" w:hanging="480" w:hangingChars="15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49821E61">
      <w:pPr>
        <w:spacing w:line="600" w:lineRule="exact"/>
        <w:ind w:left="1118" w:leftChars="304" w:hanging="480" w:hangingChars="150"/>
        <w:jc w:val="left"/>
        <w:rPr>
          <w:rFonts w:eastAsia="仿宋_GB2312"/>
          <w:sz w:val="32"/>
          <w:szCs w:val="32"/>
        </w:rPr>
      </w:pPr>
      <w:r>
        <w:rPr>
          <w:rFonts w:eastAsia="仿宋_GB2312"/>
          <w:sz w:val="32"/>
          <w:szCs w:val="32"/>
        </w:rPr>
        <w:t>1</w:t>
      </w:r>
      <w:r>
        <w:rPr>
          <w:rFonts w:ascii="仿宋_GB2312" w:eastAsia="仿宋_GB2312"/>
          <w:sz w:val="32"/>
          <w:szCs w:val="32"/>
        </w:rPr>
        <w:t>、</w:t>
      </w:r>
      <w:r>
        <w:rPr>
          <w:rFonts w:hint="eastAsia" w:ascii="仿宋_GB2312" w:eastAsia="仿宋_GB2312"/>
          <w:spacing w:val="-8"/>
          <w:sz w:val="32"/>
          <w:szCs w:val="32"/>
        </w:rPr>
        <w:t>××</w:t>
      </w:r>
      <w:r>
        <w:rPr>
          <w:rFonts w:ascii="仿宋_GB2312" w:eastAsia="仿宋_GB2312"/>
          <w:spacing w:val="-8"/>
          <w:sz w:val="32"/>
          <w:szCs w:val="32"/>
        </w:rPr>
        <w:t>部门（单位）关于开展</w:t>
      </w:r>
      <w:r>
        <w:rPr>
          <w:rFonts w:hint="eastAsia" w:ascii="仿宋_GB2312" w:eastAsia="仿宋_GB2312"/>
          <w:spacing w:val="-8"/>
          <w:sz w:val="32"/>
          <w:szCs w:val="32"/>
        </w:rPr>
        <w:t>××</w:t>
      </w:r>
      <w:r>
        <w:rPr>
          <w:rFonts w:ascii="仿宋_GB2312" w:eastAsia="仿宋_GB2312"/>
          <w:spacing w:val="-8"/>
          <w:sz w:val="32"/>
          <w:szCs w:val="32"/>
        </w:rPr>
        <w:t>年度项目支出绩效自评工作的通知（参考格式）</w:t>
      </w:r>
    </w:p>
    <w:p w14:paraId="5C7D4C8E">
      <w:pPr>
        <w:spacing w:line="600" w:lineRule="exact"/>
        <w:ind w:firstLine="640" w:firstLineChars="200"/>
        <w:rPr>
          <w:rFonts w:eastAsia="仿宋_GB2312"/>
          <w:sz w:val="32"/>
          <w:szCs w:val="32"/>
        </w:rPr>
      </w:pPr>
      <w:r>
        <w:rPr>
          <w:rFonts w:hint="eastAsia" w:eastAsia="仿宋_GB2312"/>
          <w:sz w:val="32"/>
          <w:szCs w:val="32"/>
        </w:rPr>
        <w:t>2</w:t>
      </w:r>
      <w:r>
        <w:rPr>
          <w:rFonts w:hint="eastAsia" w:ascii="仿宋_GB2312" w:eastAsia="仿宋_GB2312"/>
          <w:sz w:val="32"/>
          <w:szCs w:val="32"/>
        </w:rPr>
        <w:t>、市级预算部门项目支出绩效自评表</w:t>
      </w:r>
    </w:p>
    <w:p w14:paraId="785988AE">
      <w:pPr>
        <w:spacing w:line="600" w:lineRule="exact"/>
        <w:ind w:firstLine="640" w:firstLineChars="200"/>
        <w:rPr>
          <w:rFonts w:eastAsia="仿宋_GB2312"/>
          <w:sz w:val="32"/>
          <w:szCs w:val="32"/>
        </w:rPr>
      </w:pPr>
      <w:r>
        <w:rPr>
          <w:rFonts w:hint="eastAsia" w:eastAsia="仿宋_GB2312"/>
          <w:sz w:val="32"/>
          <w:szCs w:val="32"/>
        </w:rPr>
        <w:t xml:space="preserve"> </w:t>
      </w:r>
    </w:p>
    <w:p w14:paraId="1BB3782B">
      <w:pPr>
        <w:spacing w:line="600" w:lineRule="exact"/>
        <w:ind w:firstLine="640" w:firstLineChars="200"/>
        <w:rPr>
          <w:rFonts w:eastAsia="仿宋_GB2312"/>
          <w:sz w:val="32"/>
          <w:szCs w:val="32"/>
        </w:rPr>
      </w:pPr>
      <w:r>
        <w:rPr>
          <w:rFonts w:hint="eastAsia" w:eastAsia="仿宋_GB2312"/>
          <w:sz w:val="32"/>
          <w:szCs w:val="32"/>
        </w:rPr>
        <w:t xml:space="preserve"> </w:t>
      </w:r>
    </w:p>
    <w:p w14:paraId="76BF09F8">
      <w:pPr>
        <w:spacing w:line="600" w:lineRule="exact"/>
        <w:ind w:firstLine="640" w:firstLineChars="200"/>
        <w:rPr>
          <w:rFonts w:eastAsia="仿宋_GB2312"/>
          <w:sz w:val="32"/>
          <w:szCs w:val="32"/>
        </w:rPr>
      </w:pPr>
      <w:r>
        <w:rPr>
          <w:rFonts w:hint="eastAsia" w:eastAsia="仿宋_GB2312"/>
          <w:sz w:val="32"/>
          <w:szCs w:val="32"/>
        </w:rPr>
        <w:t xml:space="preserve"> </w:t>
      </w:r>
    </w:p>
    <w:p w14:paraId="301B1305">
      <w:pPr>
        <w:spacing w:line="600" w:lineRule="exact"/>
        <w:ind w:firstLine="640" w:firstLineChars="200"/>
        <w:rPr>
          <w:rFonts w:eastAsia="仿宋_GB2312"/>
          <w:sz w:val="32"/>
          <w:szCs w:val="32"/>
        </w:rPr>
      </w:pPr>
      <w:r>
        <w:rPr>
          <w:rFonts w:hint="eastAsia" w:eastAsia="仿宋_GB2312"/>
          <w:sz w:val="32"/>
          <w:szCs w:val="32"/>
        </w:rPr>
        <w:t xml:space="preserve"> </w:t>
      </w:r>
    </w:p>
    <w:p w14:paraId="24BA9DC3">
      <w:pPr>
        <w:spacing w:line="600" w:lineRule="exact"/>
        <w:ind w:firstLine="640" w:firstLineChars="200"/>
        <w:rPr>
          <w:rFonts w:eastAsia="仿宋_GB2312"/>
          <w:sz w:val="32"/>
          <w:szCs w:val="32"/>
        </w:rPr>
      </w:pPr>
      <w:r>
        <w:rPr>
          <w:rFonts w:hint="eastAsia" w:eastAsia="仿宋_GB2312"/>
          <w:sz w:val="32"/>
          <w:szCs w:val="32"/>
        </w:rPr>
        <w:t xml:space="preserve"> </w:t>
      </w:r>
    </w:p>
    <w:p w14:paraId="6E38680A">
      <w:pPr>
        <w:spacing w:line="600" w:lineRule="exact"/>
        <w:ind w:firstLine="640" w:firstLineChars="200"/>
        <w:rPr>
          <w:rFonts w:eastAsia="仿宋_GB2312"/>
          <w:sz w:val="32"/>
          <w:szCs w:val="32"/>
        </w:rPr>
      </w:pPr>
      <w:r>
        <w:rPr>
          <w:rFonts w:hint="eastAsia" w:eastAsia="仿宋_GB2312"/>
          <w:sz w:val="32"/>
          <w:szCs w:val="32"/>
        </w:rPr>
        <w:t xml:space="preserve"> </w:t>
      </w:r>
    </w:p>
    <w:p w14:paraId="77ACE741">
      <w:pPr>
        <w:spacing w:line="600" w:lineRule="exact"/>
        <w:ind w:firstLine="640" w:firstLineChars="200"/>
        <w:rPr>
          <w:rFonts w:eastAsia="仿宋_GB2312"/>
          <w:sz w:val="32"/>
          <w:szCs w:val="32"/>
        </w:rPr>
      </w:pPr>
      <w:r>
        <w:rPr>
          <w:rFonts w:hint="eastAsia" w:eastAsia="仿宋_GB2312"/>
          <w:sz w:val="32"/>
          <w:szCs w:val="32"/>
        </w:rPr>
        <w:t xml:space="preserve"> </w:t>
      </w:r>
    </w:p>
    <w:p w14:paraId="7BEFE115">
      <w:pPr>
        <w:spacing w:line="600" w:lineRule="exact"/>
        <w:ind w:firstLine="640" w:firstLineChars="200"/>
        <w:rPr>
          <w:rFonts w:eastAsia="仿宋_GB2312"/>
          <w:sz w:val="32"/>
          <w:szCs w:val="32"/>
        </w:rPr>
      </w:pPr>
      <w:r>
        <w:rPr>
          <w:rFonts w:hint="eastAsia" w:eastAsia="仿宋_GB2312"/>
          <w:sz w:val="32"/>
          <w:szCs w:val="32"/>
        </w:rPr>
        <w:t xml:space="preserve"> </w:t>
      </w:r>
    </w:p>
    <w:p w14:paraId="30681D48">
      <w:pPr>
        <w:spacing w:line="600" w:lineRule="exact"/>
        <w:ind w:firstLine="640" w:firstLineChars="200"/>
        <w:rPr>
          <w:rFonts w:eastAsia="仿宋_GB2312"/>
          <w:sz w:val="32"/>
          <w:szCs w:val="32"/>
        </w:rPr>
      </w:pPr>
      <w:r>
        <w:rPr>
          <w:rFonts w:hint="eastAsia" w:eastAsia="仿宋_GB2312"/>
          <w:sz w:val="32"/>
          <w:szCs w:val="32"/>
        </w:rPr>
        <w:t xml:space="preserve"> </w:t>
      </w:r>
    </w:p>
    <w:p w14:paraId="4B418472">
      <w:pPr>
        <w:spacing w:line="600" w:lineRule="exact"/>
        <w:ind w:firstLine="640" w:firstLineChars="200"/>
        <w:rPr>
          <w:rFonts w:eastAsia="仿宋_GB2312"/>
          <w:sz w:val="32"/>
          <w:szCs w:val="32"/>
        </w:rPr>
      </w:pPr>
    </w:p>
    <w:p w14:paraId="26E32104">
      <w:pPr>
        <w:spacing w:line="600" w:lineRule="exact"/>
        <w:ind w:firstLine="640" w:firstLineChars="200"/>
        <w:rPr>
          <w:rFonts w:eastAsia="仿宋_GB2312"/>
          <w:sz w:val="32"/>
          <w:szCs w:val="32"/>
        </w:rPr>
      </w:pPr>
    </w:p>
    <w:p w14:paraId="2D36839A">
      <w:pPr>
        <w:widowControl/>
        <w:spacing w:line="320" w:lineRule="exact"/>
        <w:rPr>
          <w:rFonts w:eastAsia="仿宋_GB2312"/>
          <w:sz w:val="32"/>
          <w:szCs w:val="32"/>
        </w:rPr>
      </w:pPr>
      <w:r>
        <w:rPr>
          <w:rFonts w:hint="eastAsia" w:eastAsia="仿宋_GB2312"/>
          <w:sz w:val="32"/>
          <w:szCs w:val="32"/>
        </w:rPr>
        <w:t xml:space="preserve"> </w:t>
      </w:r>
    </w:p>
    <w:p w14:paraId="23FF65B5">
      <w:pPr>
        <w:widowControl/>
        <w:spacing w:line="320" w:lineRule="exact"/>
        <w:rPr>
          <w:rFonts w:eastAsia="黑体"/>
          <w:kern w:val="0"/>
          <w:sz w:val="32"/>
          <w:szCs w:val="32"/>
        </w:rPr>
      </w:pPr>
      <w:r>
        <w:rPr>
          <w:rFonts w:hint="eastAsia" w:eastAsia="仿宋_GB2312"/>
          <w:sz w:val="32"/>
          <w:szCs w:val="32"/>
        </w:rPr>
        <w:br w:type="page"/>
      </w:r>
      <w:r>
        <w:rPr>
          <w:rFonts w:hint="eastAsia" w:ascii="黑体" w:hAnsi="黑体" w:eastAsia="黑体"/>
          <w:kern w:val="0"/>
          <w:sz w:val="32"/>
          <w:szCs w:val="32"/>
        </w:rPr>
        <w:t>附件2-4</w:t>
      </w:r>
    </w:p>
    <w:p w14:paraId="5ADCDA1E">
      <w:pPr>
        <w:spacing w:line="360" w:lineRule="auto"/>
        <w:jc w:val="center"/>
        <w:rPr>
          <w:rFonts w:ascii="方正小标宋简体" w:eastAsia="方正小标宋简体"/>
          <w:spacing w:val="-6"/>
          <w:sz w:val="42"/>
          <w:szCs w:val="42"/>
        </w:rPr>
      </w:pPr>
      <w:r>
        <w:rPr>
          <w:rFonts w:hint="eastAsia" w:ascii="方正小标宋简体" w:eastAsia="方正小标宋简体"/>
          <w:sz w:val="42"/>
          <w:szCs w:val="42"/>
        </w:rPr>
        <w:t>市级预算部门项目支出</w:t>
      </w:r>
      <w:r>
        <w:rPr>
          <w:rFonts w:hint="eastAsia" w:ascii="方正小标宋简体" w:eastAsia="方正小标宋简体"/>
          <w:spacing w:val="-6"/>
          <w:sz w:val="42"/>
          <w:szCs w:val="42"/>
        </w:rPr>
        <w:t>绩效自评工作考核评分表</w:t>
      </w:r>
    </w:p>
    <w:tbl>
      <w:tblPr>
        <w:tblStyle w:val="9"/>
        <w:tblpPr w:leftFromText="180" w:rightFromText="180" w:vertAnchor="text" w:horzAnchor="page" w:tblpX="1444" w:tblpY="169"/>
        <w:tblOverlap w:val="never"/>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0"/>
        <w:gridCol w:w="6477"/>
        <w:gridCol w:w="752"/>
      </w:tblGrid>
      <w:tr w14:paraId="7F8F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74" w:type="dxa"/>
            <w:tcBorders>
              <w:top w:val="single" w:color="auto" w:sz="4" w:space="0"/>
              <w:left w:val="single" w:color="auto" w:sz="4" w:space="0"/>
              <w:bottom w:val="single" w:color="auto" w:sz="4" w:space="0"/>
              <w:right w:val="single" w:color="auto" w:sz="4" w:space="0"/>
            </w:tcBorders>
            <w:vAlign w:val="center"/>
          </w:tcPr>
          <w:p w14:paraId="2779198A">
            <w:pPr>
              <w:spacing w:line="240" w:lineRule="exact"/>
              <w:jc w:val="center"/>
              <w:rPr>
                <w:rFonts w:ascii="仿宋_GB2312" w:eastAsia="仿宋_GB2312"/>
              </w:rPr>
            </w:pPr>
            <w:r>
              <w:rPr>
                <w:rFonts w:hint="eastAsia" w:ascii="仿宋_GB2312" w:eastAsia="仿宋_GB2312"/>
              </w:rPr>
              <w:t>一级指标</w:t>
            </w:r>
          </w:p>
        </w:tc>
        <w:tc>
          <w:tcPr>
            <w:tcW w:w="1500" w:type="dxa"/>
            <w:tcBorders>
              <w:top w:val="single" w:color="auto" w:sz="4" w:space="0"/>
              <w:left w:val="nil"/>
              <w:bottom w:val="single" w:color="auto" w:sz="4" w:space="0"/>
              <w:right w:val="single" w:color="auto" w:sz="4" w:space="0"/>
            </w:tcBorders>
            <w:vAlign w:val="center"/>
          </w:tcPr>
          <w:p w14:paraId="5CB93ABC">
            <w:pPr>
              <w:spacing w:line="240" w:lineRule="exact"/>
              <w:jc w:val="center"/>
              <w:rPr>
                <w:rFonts w:ascii="仿宋_GB2312" w:eastAsia="仿宋_GB2312"/>
              </w:rPr>
            </w:pPr>
            <w:r>
              <w:rPr>
                <w:rFonts w:hint="eastAsia" w:ascii="仿宋_GB2312" w:eastAsia="仿宋_GB2312"/>
              </w:rPr>
              <w:t>二级指标</w:t>
            </w:r>
          </w:p>
        </w:tc>
        <w:tc>
          <w:tcPr>
            <w:tcW w:w="6477" w:type="dxa"/>
            <w:tcBorders>
              <w:top w:val="single" w:color="auto" w:sz="4" w:space="0"/>
              <w:left w:val="nil"/>
              <w:bottom w:val="single" w:color="auto" w:sz="4" w:space="0"/>
              <w:right w:val="single" w:color="auto" w:sz="4" w:space="0"/>
            </w:tcBorders>
            <w:vAlign w:val="center"/>
          </w:tcPr>
          <w:p w14:paraId="7EBAF327">
            <w:pPr>
              <w:spacing w:line="240" w:lineRule="exact"/>
              <w:jc w:val="center"/>
              <w:rPr>
                <w:rFonts w:ascii="仿宋_GB2312" w:eastAsia="仿宋_GB2312"/>
              </w:rPr>
            </w:pPr>
            <w:r>
              <w:rPr>
                <w:rFonts w:hint="eastAsia" w:ascii="仿宋_GB2312" w:eastAsia="仿宋_GB2312"/>
              </w:rPr>
              <w:t>评分标准</w:t>
            </w:r>
          </w:p>
        </w:tc>
        <w:tc>
          <w:tcPr>
            <w:tcW w:w="752" w:type="dxa"/>
            <w:tcBorders>
              <w:top w:val="single" w:color="auto" w:sz="4" w:space="0"/>
              <w:left w:val="nil"/>
              <w:bottom w:val="single" w:color="auto" w:sz="4" w:space="0"/>
              <w:right w:val="single" w:color="auto" w:sz="4" w:space="0"/>
            </w:tcBorders>
            <w:vAlign w:val="center"/>
          </w:tcPr>
          <w:p w14:paraId="6896DD46">
            <w:pPr>
              <w:spacing w:line="240" w:lineRule="exact"/>
              <w:jc w:val="center"/>
              <w:rPr>
                <w:rFonts w:ascii="仿宋_GB2312" w:eastAsia="仿宋_GB2312"/>
              </w:rPr>
            </w:pPr>
            <w:r>
              <w:rPr>
                <w:rFonts w:hint="eastAsia" w:ascii="仿宋_GB2312" w:eastAsia="仿宋_GB2312"/>
              </w:rPr>
              <w:t>评分</w:t>
            </w:r>
          </w:p>
        </w:tc>
      </w:tr>
      <w:tr w14:paraId="733A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74" w:type="dxa"/>
            <w:vMerge w:val="restart"/>
            <w:tcBorders>
              <w:top w:val="nil"/>
              <w:left w:val="single" w:color="auto" w:sz="4" w:space="0"/>
              <w:bottom w:val="single" w:color="auto" w:sz="4" w:space="0"/>
              <w:right w:val="single" w:color="auto" w:sz="4" w:space="0"/>
            </w:tcBorders>
            <w:vAlign w:val="center"/>
          </w:tcPr>
          <w:p w14:paraId="71AEAC6C">
            <w:pPr>
              <w:spacing w:line="300" w:lineRule="exact"/>
              <w:jc w:val="center"/>
              <w:rPr>
                <w:rFonts w:ascii="仿宋_GB2312" w:eastAsia="仿宋_GB2312"/>
              </w:rPr>
            </w:pPr>
            <w:r>
              <w:rPr>
                <w:rFonts w:hint="eastAsia" w:ascii="仿宋_GB2312" w:eastAsia="仿宋_GB2312"/>
              </w:rPr>
              <w:t>布置工作</w:t>
            </w:r>
          </w:p>
          <w:p w14:paraId="13F2974F">
            <w:pPr>
              <w:spacing w:line="300" w:lineRule="exact"/>
              <w:jc w:val="center"/>
              <w:rPr>
                <w:rFonts w:ascii="仿宋_GB2312" w:eastAsia="仿宋_GB2312"/>
              </w:rPr>
            </w:pPr>
          </w:p>
          <w:p w14:paraId="7008F4A2">
            <w:pPr>
              <w:spacing w:line="300" w:lineRule="exact"/>
              <w:jc w:val="left"/>
              <w:rPr>
                <w:rFonts w:ascii="仿宋_GB2312" w:eastAsia="仿宋_GB2312"/>
              </w:rPr>
            </w:pPr>
            <w:r>
              <w:rPr>
                <w:rFonts w:hint="eastAsia" w:ascii="仿宋_GB2312" w:eastAsia="仿宋_GB2312"/>
              </w:rPr>
              <w:t>10分</w:t>
            </w:r>
          </w:p>
        </w:tc>
        <w:tc>
          <w:tcPr>
            <w:tcW w:w="1500" w:type="dxa"/>
            <w:tcBorders>
              <w:top w:val="single" w:color="auto" w:sz="4" w:space="0"/>
              <w:left w:val="nil"/>
              <w:bottom w:val="single" w:color="auto" w:sz="4" w:space="0"/>
              <w:right w:val="single" w:color="auto" w:sz="4" w:space="0"/>
            </w:tcBorders>
            <w:vAlign w:val="center"/>
          </w:tcPr>
          <w:p w14:paraId="628B30AB">
            <w:pPr>
              <w:spacing w:line="240" w:lineRule="exact"/>
              <w:jc w:val="center"/>
              <w:rPr>
                <w:rFonts w:ascii="仿宋_GB2312" w:eastAsia="仿宋_GB2312"/>
              </w:rPr>
            </w:pPr>
            <w:r>
              <w:rPr>
                <w:rFonts w:hint="eastAsia" w:ascii="仿宋_GB2312" w:eastAsia="仿宋_GB2312"/>
              </w:rPr>
              <w:t>自评通知</w:t>
            </w:r>
          </w:p>
          <w:p w14:paraId="087EAB8F">
            <w:pPr>
              <w:spacing w:line="240" w:lineRule="exact"/>
              <w:jc w:val="center"/>
              <w:rPr>
                <w:rFonts w:ascii="仿宋_GB2312" w:eastAsia="仿宋_GB2312"/>
              </w:rPr>
            </w:pPr>
            <w:r>
              <w:rPr>
                <w:rFonts w:hint="eastAsia" w:ascii="仿宋_GB2312" w:eastAsia="仿宋_GB2312"/>
              </w:rPr>
              <w:t>（8分）</w:t>
            </w:r>
          </w:p>
        </w:tc>
        <w:tc>
          <w:tcPr>
            <w:tcW w:w="6477" w:type="dxa"/>
            <w:tcBorders>
              <w:top w:val="single" w:color="auto" w:sz="4" w:space="0"/>
              <w:left w:val="nil"/>
              <w:bottom w:val="single" w:color="auto" w:sz="4" w:space="0"/>
              <w:right w:val="single" w:color="auto" w:sz="4" w:space="0"/>
            </w:tcBorders>
            <w:vAlign w:val="center"/>
          </w:tcPr>
          <w:p w14:paraId="67E03E2E">
            <w:pPr>
              <w:spacing w:line="240" w:lineRule="exact"/>
              <w:ind w:firstLine="210" w:firstLineChars="100"/>
              <w:rPr>
                <w:rFonts w:ascii="仿宋_GB2312" w:eastAsia="仿宋_GB2312"/>
              </w:rPr>
            </w:pPr>
            <w:r>
              <w:rPr>
                <w:rFonts w:hint="eastAsia" w:ascii="仿宋_GB2312" w:eastAsia="仿宋_GB2312"/>
              </w:rPr>
              <w:t>1、印发项目支出绩效自评通知的得2分，否则不得分。</w:t>
            </w:r>
          </w:p>
          <w:p w14:paraId="01AC2940">
            <w:pPr>
              <w:spacing w:line="240" w:lineRule="exact"/>
              <w:ind w:firstLine="210" w:firstLineChars="100"/>
              <w:rPr>
                <w:rFonts w:ascii="仿宋_GB2312" w:eastAsia="仿宋_GB2312"/>
              </w:rPr>
            </w:pPr>
            <w:r>
              <w:rPr>
                <w:rFonts w:hint="eastAsia" w:ascii="仿宋_GB2312" w:eastAsia="仿宋_GB2312"/>
              </w:rPr>
              <w:t>2、按照本规程规定，项目</w:t>
            </w:r>
            <w:r>
              <w:rPr>
                <w:rFonts w:ascii="仿宋_GB2312" w:eastAsia="仿宋_GB2312"/>
              </w:rPr>
              <w:t>支出</w:t>
            </w:r>
            <w:r>
              <w:rPr>
                <w:rFonts w:hint="eastAsia" w:ascii="仿宋_GB2312" w:eastAsia="仿宋_GB2312"/>
              </w:rPr>
              <w:t>绩效自评通知包括自评范围、自评主要依据、自评主要内容、自评程序和步骤、有关要求等内容，并附有本规程要求的附件的，得6分；否则缺1项扣1分，最多扣6分。</w:t>
            </w:r>
          </w:p>
        </w:tc>
        <w:tc>
          <w:tcPr>
            <w:tcW w:w="752" w:type="dxa"/>
            <w:tcBorders>
              <w:top w:val="single" w:color="auto" w:sz="4" w:space="0"/>
              <w:left w:val="nil"/>
              <w:bottom w:val="single" w:color="auto" w:sz="4" w:space="0"/>
              <w:right w:val="single" w:color="auto" w:sz="4" w:space="0"/>
            </w:tcBorders>
            <w:vAlign w:val="center"/>
          </w:tcPr>
          <w:p w14:paraId="3124483F">
            <w:pPr>
              <w:spacing w:line="240" w:lineRule="exact"/>
              <w:rPr>
                <w:rFonts w:hint="eastAsia" w:ascii="仿宋_GB2312" w:eastAsia="仿宋_GB2312"/>
                <w:lang w:val="en-US" w:eastAsia="zh-CN"/>
              </w:rPr>
            </w:pPr>
          </w:p>
        </w:tc>
      </w:tr>
      <w:tr w14:paraId="46D4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74" w:type="dxa"/>
            <w:vMerge w:val="continue"/>
            <w:tcBorders>
              <w:top w:val="nil"/>
              <w:left w:val="single" w:color="auto" w:sz="4" w:space="0"/>
              <w:bottom w:val="single" w:color="auto" w:sz="4" w:space="0"/>
              <w:right w:val="single" w:color="auto" w:sz="4" w:space="0"/>
            </w:tcBorders>
            <w:vAlign w:val="center"/>
          </w:tcPr>
          <w:p w14:paraId="63B2CC5A">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02738B76">
            <w:pPr>
              <w:spacing w:line="240" w:lineRule="exact"/>
              <w:jc w:val="center"/>
              <w:rPr>
                <w:rFonts w:ascii="仿宋_GB2312" w:eastAsia="仿宋_GB2312"/>
              </w:rPr>
            </w:pPr>
            <w:r>
              <w:rPr>
                <w:rFonts w:hint="eastAsia" w:ascii="仿宋_GB2312" w:eastAsia="仿宋_GB2312"/>
              </w:rPr>
              <w:t>工作小组</w:t>
            </w:r>
          </w:p>
          <w:p w14:paraId="32CE0995">
            <w:pPr>
              <w:spacing w:line="240" w:lineRule="exact"/>
              <w:jc w:val="center"/>
              <w:rPr>
                <w:rFonts w:ascii="仿宋_GB2312" w:eastAsia="仿宋_GB2312"/>
              </w:rPr>
            </w:pPr>
            <w:r>
              <w:rPr>
                <w:rFonts w:hint="eastAsia" w:ascii="仿宋_GB2312" w:eastAsia="仿宋_GB2312"/>
              </w:rPr>
              <w:t>（2分）</w:t>
            </w:r>
          </w:p>
        </w:tc>
        <w:tc>
          <w:tcPr>
            <w:tcW w:w="6477" w:type="dxa"/>
            <w:tcBorders>
              <w:top w:val="single" w:color="auto" w:sz="4" w:space="0"/>
              <w:left w:val="nil"/>
              <w:bottom w:val="single" w:color="auto" w:sz="4" w:space="0"/>
              <w:right w:val="single" w:color="auto" w:sz="4" w:space="0"/>
            </w:tcBorders>
            <w:vAlign w:val="center"/>
          </w:tcPr>
          <w:p w14:paraId="398F2725">
            <w:pPr>
              <w:spacing w:line="240" w:lineRule="exact"/>
              <w:rPr>
                <w:rFonts w:ascii="仿宋_GB2312" w:eastAsia="仿宋_GB2312"/>
              </w:rPr>
            </w:pPr>
            <w:r>
              <w:rPr>
                <w:rFonts w:hint="eastAsia" w:ascii="仿宋_GB2312" w:eastAsia="仿宋_GB2312"/>
              </w:rPr>
              <w:t>成立绩效自评工作小组的得2分，否则不得分。</w:t>
            </w:r>
          </w:p>
        </w:tc>
        <w:tc>
          <w:tcPr>
            <w:tcW w:w="752" w:type="dxa"/>
            <w:tcBorders>
              <w:top w:val="single" w:color="auto" w:sz="4" w:space="0"/>
              <w:left w:val="nil"/>
              <w:bottom w:val="single" w:color="auto" w:sz="4" w:space="0"/>
              <w:right w:val="single" w:color="auto" w:sz="4" w:space="0"/>
            </w:tcBorders>
            <w:vAlign w:val="center"/>
          </w:tcPr>
          <w:p w14:paraId="67FD66D5">
            <w:pPr>
              <w:spacing w:line="240" w:lineRule="exact"/>
              <w:jc w:val="center"/>
              <w:rPr>
                <w:rFonts w:hint="eastAsia" w:ascii="仿宋_GB2312" w:eastAsia="仿宋_GB2312"/>
                <w:lang w:val="en-US" w:eastAsia="zh-CN"/>
              </w:rPr>
            </w:pPr>
          </w:p>
        </w:tc>
      </w:tr>
      <w:tr w14:paraId="3B68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74" w:type="dxa"/>
            <w:vMerge w:val="restart"/>
            <w:tcBorders>
              <w:top w:val="nil"/>
              <w:left w:val="single" w:color="auto" w:sz="4" w:space="0"/>
              <w:bottom w:val="single" w:color="auto" w:sz="4" w:space="0"/>
              <w:right w:val="single" w:color="auto" w:sz="4" w:space="0"/>
            </w:tcBorders>
            <w:vAlign w:val="center"/>
          </w:tcPr>
          <w:p w14:paraId="5E2BBE2F">
            <w:pPr>
              <w:spacing w:line="320" w:lineRule="exact"/>
              <w:jc w:val="center"/>
              <w:rPr>
                <w:rFonts w:ascii="仿宋_GB2312" w:eastAsia="仿宋_GB2312"/>
              </w:rPr>
            </w:pPr>
            <w:r>
              <w:rPr>
                <w:rFonts w:hint="eastAsia" w:ascii="仿宋_GB2312" w:eastAsia="仿宋_GB2312"/>
              </w:rPr>
              <w:t>实施评价</w:t>
            </w:r>
          </w:p>
          <w:p w14:paraId="50D05B4C">
            <w:pPr>
              <w:spacing w:line="320" w:lineRule="exact"/>
              <w:jc w:val="center"/>
              <w:rPr>
                <w:rFonts w:ascii="仿宋_GB2312" w:eastAsia="仿宋_GB2312"/>
              </w:rPr>
            </w:pPr>
          </w:p>
          <w:p w14:paraId="7A780478">
            <w:pPr>
              <w:spacing w:line="320" w:lineRule="exact"/>
              <w:jc w:val="center"/>
              <w:rPr>
                <w:rFonts w:ascii="仿宋_GB2312" w:eastAsia="仿宋_GB2312"/>
              </w:rPr>
            </w:pPr>
            <w:r>
              <w:rPr>
                <w:rFonts w:hint="eastAsia" w:ascii="仿宋_GB2312" w:eastAsia="仿宋_GB2312"/>
              </w:rPr>
              <w:t>30分</w:t>
            </w:r>
          </w:p>
        </w:tc>
        <w:tc>
          <w:tcPr>
            <w:tcW w:w="1500" w:type="dxa"/>
            <w:tcBorders>
              <w:top w:val="single" w:color="auto" w:sz="4" w:space="0"/>
              <w:left w:val="nil"/>
              <w:bottom w:val="single" w:color="auto" w:sz="4" w:space="0"/>
              <w:right w:val="single" w:color="auto" w:sz="4" w:space="0"/>
            </w:tcBorders>
            <w:vAlign w:val="center"/>
          </w:tcPr>
          <w:p w14:paraId="19006DC5">
            <w:pPr>
              <w:spacing w:line="240" w:lineRule="exact"/>
              <w:jc w:val="center"/>
              <w:rPr>
                <w:rFonts w:ascii="仿宋_GB2312" w:eastAsia="仿宋_GB2312"/>
              </w:rPr>
            </w:pPr>
            <w:r>
              <w:rPr>
                <w:rFonts w:hint="eastAsia" w:ascii="仿宋_GB2312" w:eastAsia="仿宋_GB2312"/>
              </w:rPr>
              <w:t>单位自查</w:t>
            </w:r>
          </w:p>
          <w:p w14:paraId="1551D6F6">
            <w:pPr>
              <w:spacing w:line="240" w:lineRule="exact"/>
              <w:jc w:val="center"/>
              <w:rPr>
                <w:rFonts w:ascii="仿宋_GB2312" w:eastAsia="仿宋_GB2312"/>
              </w:rPr>
            </w:pPr>
            <w:r>
              <w:rPr>
                <w:rFonts w:hint="eastAsia" w:ascii="仿宋_GB2312" w:eastAsia="仿宋_GB2312"/>
              </w:rPr>
              <w:t>（20分）</w:t>
            </w:r>
          </w:p>
        </w:tc>
        <w:tc>
          <w:tcPr>
            <w:tcW w:w="6477" w:type="dxa"/>
            <w:tcBorders>
              <w:top w:val="single" w:color="auto" w:sz="4" w:space="0"/>
              <w:left w:val="nil"/>
              <w:bottom w:val="single" w:color="auto" w:sz="4" w:space="0"/>
              <w:right w:val="single" w:color="auto" w:sz="4" w:space="0"/>
            </w:tcBorders>
            <w:vAlign w:val="center"/>
          </w:tcPr>
          <w:p w14:paraId="550C9F9E">
            <w:pPr>
              <w:spacing w:line="240" w:lineRule="exact"/>
              <w:rPr>
                <w:rFonts w:ascii="仿宋_GB2312" w:eastAsia="仿宋_GB2312"/>
              </w:rPr>
            </w:pPr>
            <w:r>
              <w:rPr>
                <w:rFonts w:hint="eastAsia" w:ascii="仿宋_GB2312" w:eastAsia="仿宋_GB2312"/>
              </w:rPr>
              <w:t>市级预算部门本级、所属二级机构、项目实施单位都要开展项目</w:t>
            </w:r>
            <w:r>
              <w:rPr>
                <w:rFonts w:ascii="仿宋_GB2312" w:eastAsia="仿宋_GB2312"/>
              </w:rPr>
              <w:t>支出</w:t>
            </w:r>
            <w:r>
              <w:rPr>
                <w:rFonts w:hint="eastAsia" w:ascii="仿宋_GB2312" w:eastAsia="仿宋_GB2312"/>
              </w:rPr>
              <w:t>绩效自查，填报市级预算部门项目支出绩效自评表（附件2</w:t>
            </w:r>
            <w:r>
              <w:rPr>
                <w:rFonts w:ascii="仿宋_GB2312" w:eastAsia="仿宋_GB2312"/>
              </w:rPr>
              <w:t>-2</w:t>
            </w:r>
            <w:r>
              <w:rPr>
                <w:rFonts w:hint="eastAsia" w:ascii="仿宋_GB2312" w:eastAsia="仿宋_GB2312"/>
              </w:rPr>
              <w:t>），主管部门负责汇总；以上各项每发现一个没有做相应工作的，扣1分，最多扣20分。</w:t>
            </w:r>
          </w:p>
        </w:tc>
        <w:tc>
          <w:tcPr>
            <w:tcW w:w="752" w:type="dxa"/>
            <w:tcBorders>
              <w:top w:val="single" w:color="auto" w:sz="4" w:space="0"/>
              <w:left w:val="nil"/>
              <w:bottom w:val="single" w:color="auto" w:sz="4" w:space="0"/>
              <w:right w:val="single" w:color="auto" w:sz="4" w:space="0"/>
            </w:tcBorders>
            <w:vAlign w:val="center"/>
          </w:tcPr>
          <w:p w14:paraId="224F9573">
            <w:pPr>
              <w:spacing w:line="240" w:lineRule="exact"/>
              <w:rPr>
                <w:rFonts w:hint="default" w:ascii="仿宋_GB2312" w:eastAsia="仿宋_GB2312"/>
                <w:lang w:val="en-US" w:eastAsia="zh-CN"/>
              </w:rPr>
            </w:pPr>
          </w:p>
        </w:tc>
      </w:tr>
      <w:tr w14:paraId="4A3A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74" w:type="dxa"/>
            <w:vMerge w:val="continue"/>
            <w:tcBorders>
              <w:top w:val="nil"/>
              <w:left w:val="single" w:color="auto" w:sz="4" w:space="0"/>
              <w:bottom w:val="single" w:color="auto" w:sz="4" w:space="0"/>
              <w:right w:val="single" w:color="auto" w:sz="4" w:space="0"/>
            </w:tcBorders>
            <w:vAlign w:val="center"/>
          </w:tcPr>
          <w:p w14:paraId="76ADBB00">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1ADB4D48">
            <w:pPr>
              <w:spacing w:line="240" w:lineRule="exact"/>
              <w:jc w:val="center"/>
              <w:rPr>
                <w:rFonts w:ascii="仿宋_GB2312" w:eastAsia="仿宋_GB2312"/>
              </w:rPr>
            </w:pPr>
            <w:r>
              <w:rPr>
                <w:rFonts w:hint="eastAsia" w:ascii="仿宋_GB2312" w:eastAsia="仿宋_GB2312"/>
              </w:rPr>
              <w:t>提交报告</w:t>
            </w:r>
          </w:p>
          <w:p w14:paraId="52D284AE">
            <w:pPr>
              <w:spacing w:line="240" w:lineRule="exact"/>
              <w:jc w:val="center"/>
              <w:rPr>
                <w:rFonts w:ascii="仿宋_GB2312" w:eastAsia="仿宋_GB2312"/>
              </w:rPr>
            </w:pPr>
            <w:r>
              <w:rPr>
                <w:rFonts w:hint="eastAsia" w:ascii="仿宋_GB2312" w:eastAsia="仿宋_GB2312"/>
              </w:rPr>
              <w:t>（10分）</w:t>
            </w:r>
          </w:p>
        </w:tc>
        <w:tc>
          <w:tcPr>
            <w:tcW w:w="6477" w:type="dxa"/>
            <w:tcBorders>
              <w:top w:val="single" w:color="auto" w:sz="4" w:space="0"/>
              <w:left w:val="nil"/>
              <w:bottom w:val="single" w:color="auto" w:sz="4" w:space="0"/>
              <w:right w:val="single" w:color="auto" w:sz="4" w:space="0"/>
            </w:tcBorders>
            <w:vAlign w:val="center"/>
          </w:tcPr>
          <w:p w14:paraId="48AF9B99">
            <w:pPr>
              <w:spacing w:line="240" w:lineRule="exact"/>
              <w:rPr>
                <w:rFonts w:ascii="仿宋_GB2312" w:eastAsia="仿宋_GB2312"/>
              </w:rPr>
            </w:pPr>
            <w:r>
              <w:rPr>
                <w:rFonts w:hint="eastAsia" w:ascii="仿宋_GB2312" w:eastAsia="仿宋_GB2312"/>
              </w:rPr>
              <w:t>按时向市财政局报送报告的得10分；每推迟一天报送报告的扣1分，最多扣10分。</w:t>
            </w:r>
          </w:p>
        </w:tc>
        <w:tc>
          <w:tcPr>
            <w:tcW w:w="752" w:type="dxa"/>
            <w:tcBorders>
              <w:top w:val="single" w:color="auto" w:sz="4" w:space="0"/>
              <w:left w:val="nil"/>
              <w:bottom w:val="single" w:color="auto" w:sz="4" w:space="0"/>
              <w:right w:val="single" w:color="auto" w:sz="4" w:space="0"/>
            </w:tcBorders>
            <w:vAlign w:val="center"/>
          </w:tcPr>
          <w:p w14:paraId="2C05C5C8">
            <w:pPr>
              <w:spacing w:line="240" w:lineRule="exact"/>
              <w:rPr>
                <w:rFonts w:hint="default" w:ascii="仿宋_GB2312" w:eastAsia="仿宋_GB2312"/>
                <w:lang w:val="en-US" w:eastAsia="zh-CN"/>
              </w:rPr>
            </w:pPr>
          </w:p>
        </w:tc>
      </w:tr>
      <w:tr w14:paraId="03CA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74" w:type="dxa"/>
            <w:vMerge w:val="restart"/>
            <w:tcBorders>
              <w:top w:val="nil"/>
              <w:left w:val="single" w:color="auto" w:sz="4" w:space="0"/>
              <w:bottom w:val="single" w:color="auto" w:sz="4" w:space="0"/>
              <w:right w:val="single" w:color="auto" w:sz="4" w:space="0"/>
            </w:tcBorders>
            <w:vAlign w:val="center"/>
          </w:tcPr>
          <w:p w14:paraId="5A6B93AD">
            <w:pPr>
              <w:spacing w:line="240" w:lineRule="exact"/>
              <w:jc w:val="center"/>
              <w:rPr>
                <w:rFonts w:ascii="仿宋_GB2312" w:eastAsia="仿宋_GB2312"/>
              </w:rPr>
            </w:pPr>
            <w:r>
              <w:rPr>
                <w:rFonts w:hint="eastAsia" w:ascii="仿宋_GB2312" w:eastAsia="仿宋_GB2312"/>
              </w:rPr>
              <w:t>自评报告</w:t>
            </w:r>
          </w:p>
          <w:p w14:paraId="71478CA4">
            <w:pPr>
              <w:spacing w:line="240" w:lineRule="exact"/>
              <w:jc w:val="center"/>
              <w:rPr>
                <w:rFonts w:ascii="仿宋_GB2312" w:eastAsia="仿宋_GB2312"/>
              </w:rPr>
            </w:pPr>
          </w:p>
          <w:p w14:paraId="005D27B3">
            <w:pPr>
              <w:spacing w:line="240" w:lineRule="exact"/>
              <w:jc w:val="center"/>
              <w:rPr>
                <w:rFonts w:ascii="仿宋_GB2312" w:eastAsia="仿宋_GB2312"/>
              </w:rPr>
            </w:pPr>
            <w:r>
              <w:rPr>
                <w:rFonts w:hint="eastAsia" w:ascii="仿宋_GB2312" w:eastAsia="仿宋_GB2312"/>
              </w:rPr>
              <w:t>60分</w:t>
            </w:r>
          </w:p>
        </w:tc>
        <w:tc>
          <w:tcPr>
            <w:tcW w:w="1500" w:type="dxa"/>
            <w:tcBorders>
              <w:top w:val="single" w:color="auto" w:sz="4" w:space="0"/>
              <w:left w:val="nil"/>
              <w:bottom w:val="single" w:color="auto" w:sz="4" w:space="0"/>
              <w:right w:val="single" w:color="auto" w:sz="4" w:space="0"/>
            </w:tcBorders>
            <w:vAlign w:val="center"/>
          </w:tcPr>
          <w:p w14:paraId="5AA0F307">
            <w:pPr>
              <w:spacing w:line="240" w:lineRule="exact"/>
              <w:jc w:val="center"/>
              <w:rPr>
                <w:rFonts w:ascii="仿宋_GB2312" w:eastAsia="仿宋_GB2312"/>
              </w:rPr>
            </w:pPr>
            <w:r>
              <w:rPr>
                <w:rFonts w:hint="eastAsia" w:ascii="仿宋_GB2312" w:eastAsia="仿宋_GB2312"/>
              </w:rPr>
              <w:t>自评报告</w:t>
            </w:r>
          </w:p>
          <w:p w14:paraId="4F379BFB">
            <w:pPr>
              <w:spacing w:line="240" w:lineRule="exact"/>
              <w:jc w:val="center"/>
              <w:rPr>
                <w:rFonts w:ascii="仿宋_GB2312" w:eastAsia="仿宋_GB2312"/>
              </w:rPr>
            </w:pPr>
            <w:r>
              <w:rPr>
                <w:rFonts w:hint="eastAsia" w:ascii="仿宋_GB2312" w:eastAsia="仿宋_GB2312"/>
              </w:rPr>
              <w:t>的完整性</w:t>
            </w:r>
          </w:p>
          <w:p w14:paraId="65716A3F">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14:paraId="524B4F23">
            <w:pPr>
              <w:spacing w:line="240" w:lineRule="exact"/>
              <w:ind w:firstLine="210" w:firstLineChars="100"/>
              <w:rPr>
                <w:rFonts w:ascii="仿宋_GB2312" w:eastAsia="仿宋_GB2312"/>
              </w:rPr>
            </w:pPr>
            <w:r>
              <w:rPr>
                <w:rFonts w:hint="eastAsia" w:ascii="仿宋_GB2312" w:eastAsia="仿宋_GB2312"/>
              </w:rPr>
              <w:t>1、绩效自评报告正文部分内容齐全的，得8分；否则每少一个部分扣2分，最多扣8分。</w:t>
            </w:r>
          </w:p>
          <w:p w14:paraId="20A861E1">
            <w:pPr>
              <w:spacing w:line="240" w:lineRule="exact"/>
              <w:ind w:firstLine="210" w:firstLineChars="100"/>
              <w:rPr>
                <w:rFonts w:ascii="仿宋_GB2312" w:eastAsia="仿宋_GB2312"/>
              </w:rPr>
            </w:pPr>
            <w:r>
              <w:rPr>
                <w:rFonts w:hint="eastAsia" w:ascii="仿宋_GB2312" w:eastAsia="仿宋_GB2312"/>
              </w:rPr>
              <w:t>2、绩效自评报告附件部分内容齐全的，得7分；否则每少一个部分扣2分，最多扣7分。</w:t>
            </w:r>
          </w:p>
        </w:tc>
        <w:tc>
          <w:tcPr>
            <w:tcW w:w="752" w:type="dxa"/>
            <w:tcBorders>
              <w:top w:val="single" w:color="auto" w:sz="4" w:space="0"/>
              <w:left w:val="nil"/>
              <w:bottom w:val="single" w:color="auto" w:sz="4" w:space="0"/>
              <w:right w:val="single" w:color="auto" w:sz="4" w:space="0"/>
            </w:tcBorders>
            <w:vAlign w:val="center"/>
          </w:tcPr>
          <w:p w14:paraId="542122A8">
            <w:pPr>
              <w:spacing w:line="240" w:lineRule="exact"/>
              <w:jc w:val="center"/>
              <w:rPr>
                <w:rFonts w:hint="default" w:ascii="仿宋_GB2312" w:eastAsia="仿宋_GB2312"/>
                <w:lang w:val="en-US" w:eastAsia="zh-CN"/>
              </w:rPr>
            </w:pPr>
          </w:p>
        </w:tc>
      </w:tr>
      <w:tr w14:paraId="78AF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774" w:type="dxa"/>
            <w:vMerge w:val="continue"/>
            <w:tcBorders>
              <w:top w:val="nil"/>
              <w:left w:val="single" w:color="auto" w:sz="4" w:space="0"/>
              <w:bottom w:val="single" w:color="auto" w:sz="4" w:space="0"/>
              <w:right w:val="single" w:color="auto" w:sz="4" w:space="0"/>
            </w:tcBorders>
            <w:vAlign w:val="center"/>
          </w:tcPr>
          <w:p w14:paraId="4860CF14">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137D63D3">
            <w:pPr>
              <w:spacing w:line="240" w:lineRule="exact"/>
              <w:jc w:val="center"/>
              <w:rPr>
                <w:rFonts w:ascii="仿宋_GB2312" w:eastAsia="仿宋_GB2312"/>
              </w:rPr>
            </w:pPr>
            <w:r>
              <w:rPr>
                <w:rFonts w:hint="eastAsia" w:ascii="仿宋_GB2312" w:eastAsia="仿宋_GB2312"/>
              </w:rPr>
              <w:t>绩效自评表</w:t>
            </w:r>
          </w:p>
          <w:p w14:paraId="6D9E2887">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14:paraId="40762683">
            <w:pPr>
              <w:spacing w:line="240" w:lineRule="exact"/>
              <w:ind w:firstLine="210" w:firstLineChars="100"/>
              <w:rPr>
                <w:rFonts w:ascii="仿宋_GB2312" w:eastAsia="仿宋_GB2312"/>
              </w:rPr>
            </w:pPr>
            <w:r>
              <w:rPr>
                <w:rFonts w:hint="eastAsia" w:ascii="仿宋_GB2312" w:eastAsia="仿宋_GB2312"/>
              </w:rPr>
              <w:t>1、项目支出绩效指标反映产出、效益、服务对象满意度方面的指标和预算执行率的权重符合本规程的，得2分，否则按比例扣除相应的分数。</w:t>
            </w:r>
          </w:p>
          <w:p w14:paraId="3BE831A5">
            <w:pPr>
              <w:spacing w:line="240" w:lineRule="exact"/>
              <w:ind w:firstLine="210" w:firstLineChars="100"/>
              <w:rPr>
                <w:rFonts w:ascii="仿宋_GB2312" w:eastAsia="仿宋_GB2312"/>
              </w:rPr>
            </w:pPr>
            <w:r>
              <w:rPr>
                <w:rFonts w:hint="eastAsia" w:ascii="仿宋_GB2312" w:eastAsia="仿宋_GB2312"/>
              </w:rPr>
              <w:t>2、项目支出绩效指标全部细化到三级指标的，得3分；部分细化的，酌情扣分；没有细化的，不得分。</w:t>
            </w:r>
          </w:p>
          <w:p w14:paraId="064C4D0E">
            <w:pPr>
              <w:spacing w:line="240" w:lineRule="exact"/>
              <w:ind w:firstLine="210" w:firstLineChars="100"/>
              <w:rPr>
                <w:rFonts w:ascii="仿宋_GB2312" w:eastAsia="仿宋_GB2312"/>
              </w:rPr>
            </w:pPr>
            <w:r>
              <w:rPr>
                <w:rFonts w:hint="eastAsia" w:ascii="仿宋_GB2312" w:eastAsia="仿宋_GB2312"/>
              </w:rPr>
              <w:t>3、项目支出三级绩效指标内涵明确、具体、可衡量的得5分；突出核心指标，精简实用的得3分；指标与项目支出密切相关，全面反映产出和效益的得2分；否则每项酌情扣分，最多扣10分。</w:t>
            </w:r>
          </w:p>
        </w:tc>
        <w:tc>
          <w:tcPr>
            <w:tcW w:w="752" w:type="dxa"/>
            <w:tcBorders>
              <w:top w:val="single" w:color="auto" w:sz="4" w:space="0"/>
              <w:left w:val="nil"/>
              <w:bottom w:val="single" w:color="auto" w:sz="4" w:space="0"/>
              <w:right w:val="single" w:color="auto" w:sz="4" w:space="0"/>
            </w:tcBorders>
            <w:vAlign w:val="center"/>
          </w:tcPr>
          <w:p w14:paraId="5B00998D">
            <w:pPr>
              <w:spacing w:line="240" w:lineRule="exact"/>
              <w:jc w:val="center"/>
              <w:rPr>
                <w:rFonts w:hint="default" w:ascii="仿宋_GB2312" w:eastAsia="仿宋_GB2312"/>
                <w:lang w:val="en-US" w:eastAsia="zh-CN"/>
              </w:rPr>
            </w:pPr>
          </w:p>
        </w:tc>
      </w:tr>
      <w:tr w14:paraId="78A7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74" w:type="dxa"/>
            <w:vMerge w:val="continue"/>
            <w:tcBorders>
              <w:top w:val="nil"/>
              <w:left w:val="single" w:color="auto" w:sz="4" w:space="0"/>
              <w:bottom w:val="single" w:color="auto" w:sz="4" w:space="0"/>
              <w:right w:val="single" w:color="auto" w:sz="4" w:space="0"/>
            </w:tcBorders>
            <w:vAlign w:val="center"/>
          </w:tcPr>
          <w:p w14:paraId="51A2A03F">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354153C1">
            <w:pPr>
              <w:spacing w:line="240" w:lineRule="exact"/>
              <w:jc w:val="center"/>
              <w:rPr>
                <w:rFonts w:ascii="仿宋_GB2312" w:eastAsia="仿宋_GB2312"/>
              </w:rPr>
            </w:pPr>
            <w:r>
              <w:rPr>
                <w:rFonts w:hint="eastAsia" w:ascii="仿宋_GB2312" w:eastAsia="仿宋_GB2312"/>
              </w:rPr>
              <w:t>绩效评价报告总结经验做法和发现存在问题情况</w:t>
            </w:r>
          </w:p>
          <w:p w14:paraId="7971D539">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14:paraId="23FE9C4D">
            <w:pPr>
              <w:spacing w:line="240" w:lineRule="exact"/>
              <w:ind w:firstLine="210" w:firstLineChars="100"/>
              <w:rPr>
                <w:rFonts w:ascii="仿宋_GB2312" w:eastAsia="仿宋_GB2312"/>
              </w:rPr>
            </w:pPr>
            <w:r>
              <w:rPr>
                <w:rFonts w:hint="eastAsia" w:ascii="仿宋_GB2312" w:eastAsia="仿宋_GB2312"/>
              </w:rPr>
              <w:t>绩效评价总结经验做法和发现存在问题详实全面的得15分，只提出资金不足问题的不得分；其他情况酌情扣分。</w:t>
            </w:r>
          </w:p>
        </w:tc>
        <w:tc>
          <w:tcPr>
            <w:tcW w:w="752" w:type="dxa"/>
            <w:tcBorders>
              <w:top w:val="single" w:color="auto" w:sz="4" w:space="0"/>
              <w:left w:val="nil"/>
              <w:bottom w:val="single" w:color="auto" w:sz="4" w:space="0"/>
              <w:right w:val="single" w:color="auto" w:sz="4" w:space="0"/>
            </w:tcBorders>
            <w:vAlign w:val="center"/>
          </w:tcPr>
          <w:p w14:paraId="5D1FF945">
            <w:pPr>
              <w:spacing w:line="240" w:lineRule="exact"/>
              <w:jc w:val="center"/>
              <w:rPr>
                <w:rFonts w:hint="default" w:ascii="仿宋_GB2312" w:eastAsia="仿宋_GB2312"/>
                <w:lang w:val="en-US" w:eastAsia="zh-CN"/>
              </w:rPr>
            </w:pPr>
          </w:p>
        </w:tc>
      </w:tr>
      <w:tr w14:paraId="59A4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74" w:type="dxa"/>
            <w:vMerge w:val="continue"/>
            <w:tcBorders>
              <w:top w:val="nil"/>
              <w:left w:val="single" w:color="auto" w:sz="4" w:space="0"/>
              <w:bottom w:val="single" w:color="auto" w:sz="4" w:space="0"/>
              <w:right w:val="single" w:color="auto" w:sz="4" w:space="0"/>
            </w:tcBorders>
            <w:vAlign w:val="center"/>
          </w:tcPr>
          <w:p w14:paraId="0F25388A">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77992207">
            <w:pPr>
              <w:spacing w:line="240" w:lineRule="exact"/>
              <w:jc w:val="center"/>
              <w:rPr>
                <w:rFonts w:ascii="仿宋_GB2312" w:eastAsia="仿宋_GB2312"/>
              </w:rPr>
            </w:pPr>
            <w:r>
              <w:rPr>
                <w:rFonts w:hint="eastAsia" w:ascii="仿宋_GB2312" w:eastAsia="仿宋_GB2312"/>
              </w:rPr>
              <w:t>提出可行性建议的情况</w:t>
            </w:r>
          </w:p>
          <w:p w14:paraId="3333DB63">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14:paraId="6A562E8C">
            <w:pPr>
              <w:spacing w:line="240" w:lineRule="exact"/>
              <w:ind w:firstLine="210" w:firstLineChars="100"/>
              <w:rPr>
                <w:rFonts w:ascii="仿宋_GB2312" w:eastAsia="仿宋_GB2312"/>
              </w:rPr>
            </w:pPr>
            <w:r>
              <w:rPr>
                <w:rFonts w:hint="eastAsia" w:ascii="仿宋_GB2312" w:eastAsia="仿宋_GB2312"/>
              </w:rPr>
              <w:t>提出可行性建议包含有关政策在内的可行性建议的得15分，只提出加大资金投入建议的不得分；其他情况酌情扣分。</w:t>
            </w:r>
          </w:p>
        </w:tc>
        <w:tc>
          <w:tcPr>
            <w:tcW w:w="752" w:type="dxa"/>
            <w:tcBorders>
              <w:top w:val="single" w:color="auto" w:sz="4" w:space="0"/>
              <w:left w:val="nil"/>
              <w:bottom w:val="single" w:color="auto" w:sz="4" w:space="0"/>
              <w:right w:val="single" w:color="auto" w:sz="4" w:space="0"/>
            </w:tcBorders>
            <w:vAlign w:val="center"/>
          </w:tcPr>
          <w:p w14:paraId="1FBDC165">
            <w:pPr>
              <w:spacing w:line="240" w:lineRule="exact"/>
              <w:jc w:val="center"/>
              <w:rPr>
                <w:rFonts w:hint="default" w:ascii="仿宋_GB2312" w:eastAsia="仿宋_GB2312"/>
                <w:lang w:val="en-US" w:eastAsia="zh-CN"/>
              </w:rPr>
            </w:pPr>
          </w:p>
        </w:tc>
      </w:tr>
      <w:tr w14:paraId="27F0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74" w:type="dxa"/>
            <w:tcBorders>
              <w:top w:val="single" w:color="auto" w:sz="4" w:space="0"/>
              <w:left w:val="single" w:color="auto" w:sz="4" w:space="0"/>
              <w:bottom w:val="single" w:color="auto" w:sz="4" w:space="0"/>
              <w:right w:val="single" w:color="auto" w:sz="4" w:space="0"/>
            </w:tcBorders>
            <w:vAlign w:val="center"/>
          </w:tcPr>
          <w:p w14:paraId="33DFAB39">
            <w:pPr>
              <w:spacing w:line="240" w:lineRule="exact"/>
              <w:jc w:val="center"/>
              <w:rPr>
                <w:rFonts w:ascii="仿宋_GB2312" w:eastAsia="仿宋_GB2312"/>
              </w:rPr>
            </w:pPr>
            <w:r>
              <w:rPr>
                <w:rFonts w:hint="eastAsia" w:ascii="仿宋_GB2312" w:eastAsia="仿宋_GB2312"/>
              </w:rPr>
              <w:t>合计</w:t>
            </w:r>
          </w:p>
        </w:tc>
        <w:tc>
          <w:tcPr>
            <w:tcW w:w="1500" w:type="dxa"/>
            <w:tcBorders>
              <w:top w:val="single" w:color="auto" w:sz="4" w:space="0"/>
              <w:left w:val="nil"/>
              <w:bottom w:val="single" w:color="auto" w:sz="4" w:space="0"/>
              <w:right w:val="single" w:color="auto" w:sz="4" w:space="0"/>
            </w:tcBorders>
            <w:vAlign w:val="center"/>
          </w:tcPr>
          <w:p w14:paraId="1650663C">
            <w:pPr>
              <w:spacing w:line="240" w:lineRule="exact"/>
              <w:jc w:val="center"/>
              <w:rPr>
                <w:rFonts w:ascii="仿宋_GB2312" w:eastAsia="仿宋_GB2312"/>
              </w:rPr>
            </w:pPr>
            <w:r>
              <w:rPr>
                <w:rFonts w:hint="eastAsia" w:ascii="仿宋_GB2312" w:eastAsia="仿宋_GB2312"/>
              </w:rPr>
              <w:t>100分</w:t>
            </w:r>
          </w:p>
        </w:tc>
        <w:tc>
          <w:tcPr>
            <w:tcW w:w="6477" w:type="dxa"/>
            <w:tcBorders>
              <w:top w:val="single" w:color="auto" w:sz="4" w:space="0"/>
              <w:left w:val="nil"/>
              <w:bottom w:val="single" w:color="auto" w:sz="4" w:space="0"/>
              <w:right w:val="single" w:color="auto" w:sz="4" w:space="0"/>
            </w:tcBorders>
            <w:vAlign w:val="center"/>
          </w:tcPr>
          <w:p w14:paraId="68F0CBA3">
            <w:pPr>
              <w:spacing w:line="240" w:lineRule="exact"/>
              <w:rPr>
                <w:rFonts w:ascii="仿宋_GB2312" w:eastAsia="仿宋_GB2312"/>
              </w:rPr>
            </w:pPr>
          </w:p>
        </w:tc>
        <w:tc>
          <w:tcPr>
            <w:tcW w:w="752" w:type="dxa"/>
            <w:tcBorders>
              <w:top w:val="single" w:color="auto" w:sz="4" w:space="0"/>
              <w:left w:val="nil"/>
              <w:bottom w:val="single" w:color="auto" w:sz="4" w:space="0"/>
              <w:right w:val="single" w:color="auto" w:sz="4" w:space="0"/>
            </w:tcBorders>
            <w:vAlign w:val="center"/>
          </w:tcPr>
          <w:p w14:paraId="555E0D77">
            <w:pPr>
              <w:spacing w:line="240" w:lineRule="exact"/>
              <w:rPr>
                <w:rFonts w:hint="default" w:ascii="仿宋_GB2312" w:eastAsia="仿宋_GB2312"/>
                <w:lang w:val="en-US" w:eastAsia="zh-CN"/>
              </w:rPr>
            </w:pPr>
            <w:r>
              <w:rPr>
                <w:rFonts w:hint="eastAsia" w:ascii="仿宋_GB2312" w:eastAsia="仿宋_GB2312"/>
                <w:lang w:val="en-US" w:eastAsia="zh-CN"/>
              </w:rPr>
              <w:t>1</w:t>
            </w:r>
          </w:p>
        </w:tc>
      </w:tr>
      <w:tr w14:paraId="68B3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74" w:type="dxa"/>
            <w:tcBorders>
              <w:top w:val="single" w:color="auto" w:sz="4" w:space="0"/>
              <w:left w:val="single" w:color="auto" w:sz="4" w:space="0"/>
              <w:bottom w:val="single" w:color="auto" w:sz="4" w:space="0"/>
              <w:right w:val="single" w:color="auto" w:sz="4" w:space="0"/>
            </w:tcBorders>
            <w:vAlign w:val="center"/>
          </w:tcPr>
          <w:p w14:paraId="604E6582">
            <w:pPr>
              <w:spacing w:line="280" w:lineRule="exact"/>
              <w:jc w:val="center"/>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009BE98C">
            <w:pPr>
              <w:spacing w:line="280" w:lineRule="exact"/>
              <w:jc w:val="left"/>
              <w:rPr>
                <w:rFonts w:ascii="仿宋_GB2312" w:eastAsia="仿宋_GB2312"/>
              </w:rPr>
            </w:pPr>
            <w:r>
              <w:rPr>
                <w:rFonts w:hint="eastAsia" w:eastAsia="仿宋_GB2312"/>
              </w:rPr>
              <w:t>评分等级</w:t>
            </w:r>
          </w:p>
        </w:tc>
        <w:tc>
          <w:tcPr>
            <w:tcW w:w="6477" w:type="dxa"/>
            <w:tcBorders>
              <w:top w:val="single" w:color="auto" w:sz="4" w:space="0"/>
              <w:left w:val="nil"/>
              <w:bottom w:val="single" w:color="auto" w:sz="4" w:space="0"/>
              <w:right w:val="single" w:color="auto" w:sz="4" w:space="0"/>
            </w:tcBorders>
            <w:vAlign w:val="center"/>
          </w:tcPr>
          <w:p w14:paraId="16317F99">
            <w:pPr>
              <w:spacing w:line="280" w:lineRule="exact"/>
              <w:rPr>
                <w:rFonts w:ascii="仿宋_GB2312" w:eastAsia="仿宋_GB2312"/>
              </w:rPr>
            </w:pPr>
            <w:r>
              <w:rPr>
                <w:rFonts w:ascii="TimesNewRoman" w:hAnsi="TimesNewRoman"/>
              </w:rPr>
              <w:t>90</w:t>
            </w:r>
            <w:r>
              <w:rPr>
                <w:rFonts w:hint="eastAsia" w:ascii="仿宋_GB2312" w:eastAsia="仿宋_GB2312"/>
              </w:rPr>
              <w:t>（含）—</w:t>
            </w:r>
            <w:r>
              <w:rPr>
                <w:rFonts w:ascii="TimesNewRoman" w:hAnsi="TimesNewRoman"/>
              </w:rPr>
              <w:t>100</w:t>
            </w:r>
            <w:r>
              <w:rPr>
                <w:rFonts w:hint="eastAsia" w:ascii="仿宋_GB2312" w:eastAsia="仿宋_GB2312"/>
              </w:rPr>
              <w:t>分为优；</w:t>
            </w:r>
            <w:r>
              <w:rPr>
                <w:rFonts w:ascii="TimesNewRoman" w:hAnsi="TimesNewRoman"/>
              </w:rPr>
              <w:t>80</w:t>
            </w:r>
            <w:r>
              <w:rPr>
                <w:rFonts w:hint="eastAsia" w:ascii="仿宋_GB2312" w:eastAsia="仿宋_GB2312"/>
              </w:rPr>
              <w:t>（含）—</w:t>
            </w:r>
            <w:r>
              <w:rPr>
                <w:rFonts w:ascii="TimesNewRoman" w:hAnsi="TimesNewRoman"/>
              </w:rPr>
              <w:t>90</w:t>
            </w:r>
            <w:r>
              <w:rPr>
                <w:rFonts w:hint="eastAsia" w:ascii="仿宋_GB2312" w:eastAsia="仿宋_GB2312"/>
              </w:rPr>
              <w:t>分为良；</w:t>
            </w:r>
            <w:r>
              <w:rPr>
                <w:rFonts w:ascii="TimesNewRoman" w:hAnsi="TimesNewRoman"/>
              </w:rPr>
              <w:t xml:space="preserve"> 60</w:t>
            </w:r>
            <w:r>
              <w:rPr>
                <w:rFonts w:hint="eastAsia" w:ascii="仿宋_GB2312" w:eastAsia="仿宋_GB2312"/>
              </w:rPr>
              <w:t>（含）—</w:t>
            </w:r>
            <w:r>
              <w:rPr>
                <w:rFonts w:ascii="TimesNewRoman" w:hAnsi="TimesNewRoman"/>
              </w:rPr>
              <w:t>80</w:t>
            </w:r>
            <w:r>
              <w:rPr>
                <w:rFonts w:hint="eastAsia" w:ascii="仿宋_GB2312" w:eastAsia="仿宋_GB2312"/>
              </w:rPr>
              <w:t xml:space="preserve"> 分为较差；</w:t>
            </w:r>
            <w:r>
              <w:rPr>
                <w:rFonts w:ascii="TimesNewRoman" w:hAnsi="TimesNewRoman"/>
              </w:rPr>
              <w:t>60</w:t>
            </w:r>
            <w:r>
              <w:rPr>
                <w:rFonts w:hint="eastAsia" w:ascii="仿宋_GB2312" w:eastAsia="仿宋_GB2312"/>
              </w:rPr>
              <w:t>分以下为差。</w:t>
            </w:r>
          </w:p>
        </w:tc>
        <w:tc>
          <w:tcPr>
            <w:tcW w:w="752" w:type="dxa"/>
            <w:tcBorders>
              <w:top w:val="single" w:color="auto" w:sz="4" w:space="0"/>
              <w:left w:val="nil"/>
              <w:bottom w:val="single" w:color="auto" w:sz="4" w:space="0"/>
              <w:right w:val="single" w:color="auto" w:sz="4" w:space="0"/>
            </w:tcBorders>
            <w:vAlign w:val="center"/>
          </w:tcPr>
          <w:p w14:paraId="287466DB">
            <w:pPr>
              <w:spacing w:line="280" w:lineRule="exact"/>
              <w:rPr>
                <w:rFonts w:ascii="仿宋_GB2312" w:eastAsia="仿宋_GB2312"/>
              </w:rPr>
            </w:pPr>
          </w:p>
        </w:tc>
      </w:tr>
    </w:tbl>
    <w:p w14:paraId="4F076740">
      <w:pPr>
        <w:spacing w:line="280" w:lineRule="exact"/>
        <w:rPr>
          <w:rFonts w:ascii="仿宋_GB2312" w:eastAsia="仿宋_GB2312"/>
          <w:sz w:val="36"/>
          <w:szCs w:val="36"/>
        </w:rPr>
      </w:pPr>
      <w:r>
        <w:rPr>
          <w:rFonts w:hint="eastAsia" w:ascii="仿宋_GB2312" w:eastAsia="仿宋_GB2312"/>
          <w:sz w:val="24"/>
        </w:rPr>
        <w:t>市级预算部门名称：          项目支出名称 ：                      编号：</w:t>
      </w:r>
    </w:p>
    <w:p w14:paraId="302C6CC2">
      <w:pPr>
        <w:spacing w:line="280" w:lineRule="exact"/>
        <w:rPr>
          <w:rFonts w:ascii="仿宋_GB2312" w:eastAsia="仿宋_GB2312"/>
          <w:sz w:val="24"/>
        </w:rPr>
      </w:pPr>
    </w:p>
    <w:p w14:paraId="1573975E">
      <w:pPr>
        <w:spacing w:line="280" w:lineRule="exact"/>
        <w:rPr>
          <w:rFonts w:eastAsia="仿宋_GB2312"/>
          <w:sz w:val="24"/>
        </w:rPr>
      </w:pPr>
      <w:r>
        <w:rPr>
          <w:rFonts w:hint="eastAsia" w:ascii="仿宋_GB2312" w:eastAsia="仿宋_GB2312"/>
          <w:sz w:val="24"/>
        </w:rPr>
        <w:t>评分人签名：</w:t>
      </w:r>
      <w:r>
        <w:rPr>
          <w:rFonts w:hint="eastAsia" w:eastAsia="仿宋_GB2312"/>
          <w:sz w:val="24"/>
        </w:rPr>
        <w:t xml:space="preserve">                                                </w:t>
      </w:r>
      <w:r>
        <w:rPr>
          <w:rFonts w:hint="eastAsia" w:ascii="仿宋_GB2312" w:eastAsia="仿宋_GB2312"/>
          <w:sz w:val="24"/>
        </w:rPr>
        <w:t>年</w:t>
      </w:r>
      <w:r>
        <w:rPr>
          <w:rFonts w:hint="eastAsia" w:eastAsia="仿宋_GB2312"/>
          <w:sz w:val="24"/>
        </w:rPr>
        <w:t xml:space="preserve">   </w:t>
      </w:r>
      <w:r>
        <w:rPr>
          <w:rFonts w:hint="eastAsia" w:ascii="仿宋_GB2312" w:eastAsia="仿宋_GB2312"/>
          <w:sz w:val="24"/>
        </w:rPr>
        <w:t>月</w:t>
      </w:r>
      <w:r>
        <w:rPr>
          <w:rFonts w:hint="eastAsia" w:eastAsia="仿宋_GB2312"/>
          <w:sz w:val="24"/>
        </w:rPr>
        <w:t xml:space="preserve">   </w:t>
      </w:r>
      <w:r>
        <w:rPr>
          <w:rFonts w:hint="eastAsia" w:ascii="仿宋_GB2312" w:eastAsia="仿宋_GB2312"/>
          <w:sz w:val="24"/>
        </w:rPr>
        <w:t>日</w:t>
      </w:r>
    </w:p>
    <w:p w14:paraId="4837F748">
      <w:pPr>
        <w:widowControl/>
        <w:spacing w:line="280" w:lineRule="exact"/>
        <w:jc w:val="left"/>
        <w:rPr>
          <w:rFonts w:ascii="黑体" w:hAnsi="黑体" w:eastAsia="黑体" w:cs="宋体"/>
          <w:color w:val="000000"/>
          <w:sz w:val="32"/>
          <w:szCs w:val="32"/>
        </w:rPr>
        <w:sectPr>
          <w:footerReference r:id="rId3" w:type="default"/>
          <w:footerReference r:id="rId4" w:type="even"/>
          <w:pgSz w:w="11905" w:h="16837"/>
          <w:pgMar w:top="1531" w:right="1531" w:bottom="1531" w:left="1531" w:header="851" w:footer="1077" w:gutter="0"/>
          <w:pgNumType w:fmt="numberInDash"/>
          <w:cols w:space="720" w:num="1"/>
          <w:docGrid w:type="lines" w:linePitch="636" w:charSpace="0"/>
        </w:sectPr>
      </w:pPr>
    </w:p>
    <w:p w14:paraId="176B0BA2">
      <w:pPr>
        <w:pStyle w:val="4"/>
        <w:spacing w:before="0" w:after="0"/>
        <w:rPr>
          <w:rFonts w:ascii="黑体" w:hAnsi="黑体"/>
          <w:b w:val="0"/>
          <w:bCs w:val="0"/>
          <w:color w:val="000000"/>
        </w:rPr>
      </w:pPr>
      <w:r>
        <w:rPr>
          <w:rFonts w:hint="eastAsia" w:ascii="黑体" w:hAnsi="黑体"/>
          <w:b w:val="0"/>
          <w:bCs w:val="0"/>
          <w:color w:val="000000"/>
        </w:rPr>
        <w:t>附件2-5</w:t>
      </w:r>
    </w:p>
    <w:p w14:paraId="08F3DEA5">
      <w:pPr>
        <w:pStyle w:val="4"/>
        <w:spacing w:before="0" w:after="0"/>
        <w:jc w:val="center"/>
        <w:rPr>
          <w:rFonts w:ascii="方正小标宋简体" w:eastAsia="方正小标宋简体"/>
          <w:b w:val="0"/>
          <w:bCs w:val="0"/>
          <w:color w:val="000000"/>
          <w:sz w:val="44"/>
          <w:szCs w:val="44"/>
        </w:rPr>
      </w:pPr>
      <w:r>
        <w:rPr>
          <w:rFonts w:hint="eastAsia" w:ascii="方正小标宋简体" w:eastAsia="方正小标宋简体"/>
          <w:b w:val="0"/>
          <w:bCs w:val="0"/>
          <w:color w:val="000000"/>
          <w:sz w:val="44"/>
          <w:szCs w:val="44"/>
        </w:rPr>
        <w:t>项目支出绩效评价指标体系框架（参考）</w:t>
      </w:r>
    </w:p>
    <w:tbl>
      <w:tblPr>
        <w:tblStyle w:val="9"/>
        <w:tblW w:w="10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12"/>
        <w:gridCol w:w="789"/>
        <w:gridCol w:w="2599"/>
        <w:gridCol w:w="5368"/>
      </w:tblGrid>
      <w:tr w14:paraId="558F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861" w:type="dxa"/>
            <w:shd w:val="clear" w:color="auto" w:fill="FFFFFF"/>
            <w:vAlign w:val="center"/>
          </w:tcPr>
          <w:p w14:paraId="6AA1E60C">
            <w:pPr>
              <w:widowControl/>
              <w:spacing w:line="0" w:lineRule="atLeast"/>
              <w:jc w:val="center"/>
              <w:rPr>
                <w:rFonts w:ascii="宋体" w:hAnsi="宋体"/>
                <w:b/>
                <w:bCs/>
                <w:color w:val="000000"/>
                <w:kern w:val="0"/>
                <w:sz w:val="22"/>
                <w:szCs w:val="22"/>
              </w:rPr>
            </w:pPr>
            <w:r>
              <w:rPr>
                <w:rFonts w:hint="eastAsia" w:ascii="宋体" w:hAnsi="宋体"/>
                <w:b/>
                <w:bCs/>
                <w:color w:val="000000"/>
                <w:kern w:val="0"/>
                <w:sz w:val="22"/>
                <w:szCs w:val="22"/>
              </w:rPr>
              <w:t>一级指标</w:t>
            </w:r>
          </w:p>
        </w:tc>
        <w:tc>
          <w:tcPr>
            <w:tcW w:w="812" w:type="dxa"/>
            <w:shd w:val="clear" w:color="auto" w:fill="FFFFFF"/>
            <w:vAlign w:val="center"/>
          </w:tcPr>
          <w:p w14:paraId="3FB3FFC4">
            <w:pPr>
              <w:widowControl/>
              <w:spacing w:line="0" w:lineRule="atLeast"/>
              <w:jc w:val="center"/>
              <w:rPr>
                <w:rFonts w:ascii="宋体" w:hAnsi="宋体"/>
                <w:b/>
                <w:bCs/>
                <w:color w:val="000000"/>
                <w:kern w:val="0"/>
                <w:sz w:val="22"/>
                <w:szCs w:val="22"/>
              </w:rPr>
            </w:pPr>
            <w:r>
              <w:rPr>
                <w:rFonts w:hint="eastAsia" w:ascii="宋体" w:hAnsi="宋体"/>
                <w:b/>
                <w:bCs/>
                <w:color w:val="000000"/>
                <w:kern w:val="0"/>
                <w:sz w:val="22"/>
                <w:szCs w:val="22"/>
              </w:rPr>
              <w:t>二级指标</w:t>
            </w:r>
          </w:p>
        </w:tc>
        <w:tc>
          <w:tcPr>
            <w:tcW w:w="789" w:type="dxa"/>
            <w:shd w:val="clear" w:color="auto" w:fill="FFFFFF"/>
            <w:vAlign w:val="center"/>
          </w:tcPr>
          <w:p w14:paraId="0E3A6393">
            <w:pPr>
              <w:widowControl/>
              <w:spacing w:line="0" w:lineRule="atLeast"/>
              <w:jc w:val="center"/>
              <w:rPr>
                <w:rFonts w:ascii="宋体" w:hAnsi="宋体"/>
                <w:b/>
                <w:bCs/>
                <w:color w:val="000000"/>
                <w:kern w:val="0"/>
                <w:sz w:val="22"/>
                <w:szCs w:val="22"/>
              </w:rPr>
            </w:pPr>
            <w:r>
              <w:rPr>
                <w:rFonts w:hint="eastAsia" w:ascii="宋体" w:hAnsi="宋体"/>
                <w:b/>
                <w:bCs/>
                <w:color w:val="000000"/>
                <w:kern w:val="0"/>
                <w:sz w:val="22"/>
                <w:szCs w:val="22"/>
              </w:rPr>
              <w:t>三级指标</w:t>
            </w:r>
          </w:p>
        </w:tc>
        <w:tc>
          <w:tcPr>
            <w:tcW w:w="2599" w:type="dxa"/>
            <w:shd w:val="clear" w:color="auto" w:fill="FFFFFF"/>
            <w:vAlign w:val="center"/>
          </w:tcPr>
          <w:p w14:paraId="49995336">
            <w:pPr>
              <w:widowControl/>
              <w:spacing w:line="0" w:lineRule="atLeast"/>
              <w:jc w:val="center"/>
              <w:rPr>
                <w:rFonts w:ascii="宋体" w:hAnsi="宋体"/>
                <w:b/>
                <w:bCs/>
                <w:color w:val="000000"/>
                <w:kern w:val="0"/>
                <w:sz w:val="22"/>
                <w:szCs w:val="22"/>
              </w:rPr>
            </w:pPr>
            <w:r>
              <w:rPr>
                <w:rFonts w:hint="eastAsia" w:ascii="宋体" w:hAnsi="宋体"/>
                <w:b/>
                <w:bCs/>
                <w:color w:val="000000"/>
                <w:kern w:val="0"/>
                <w:sz w:val="22"/>
                <w:szCs w:val="22"/>
              </w:rPr>
              <w:t>指标解释</w:t>
            </w:r>
          </w:p>
        </w:tc>
        <w:tc>
          <w:tcPr>
            <w:tcW w:w="5368" w:type="dxa"/>
            <w:shd w:val="clear" w:color="auto" w:fill="FFFFFF"/>
            <w:vAlign w:val="center"/>
          </w:tcPr>
          <w:p w14:paraId="0D7E3785">
            <w:pPr>
              <w:widowControl/>
              <w:spacing w:line="0" w:lineRule="atLeast"/>
              <w:jc w:val="center"/>
              <w:rPr>
                <w:rFonts w:ascii="宋体" w:hAnsi="宋体"/>
                <w:b/>
                <w:bCs/>
                <w:color w:val="000000"/>
                <w:kern w:val="0"/>
                <w:sz w:val="22"/>
                <w:szCs w:val="22"/>
              </w:rPr>
            </w:pPr>
            <w:r>
              <w:rPr>
                <w:rFonts w:hint="eastAsia" w:ascii="宋体" w:hAnsi="宋体"/>
                <w:b/>
                <w:bCs/>
                <w:color w:val="000000"/>
                <w:kern w:val="0"/>
                <w:sz w:val="22"/>
                <w:szCs w:val="22"/>
              </w:rPr>
              <w:t>指标说明</w:t>
            </w:r>
          </w:p>
        </w:tc>
      </w:tr>
      <w:tr w14:paraId="1003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861" w:type="dxa"/>
            <w:vMerge w:val="restart"/>
            <w:shd w:val="clear" w:color="auto" w:fill="FFFFFF"/>
            <w:vAlign w:val="center"/>
          </w:tcPr>
          <w:p w14:paraId="20F03BCC">
            <w:pPr>
              <w:widowControl/>
              <w:spacing w:line="360" w:lineRule="exact"/>
              <w:jc w:val="center"/>
              <w:rPr>
                <w:rFonts w:ascii="宋体" w:hAnsi="宋体"/>
                <w:color w:val="000000"/>
                <w:kern w:val="0"/>
                <w:sz w:val="22"/>
                <w:szCs w:val="22"/>
              </w:rPr>
            </w:pPr>
            <w:r>
              <w:rPr>
                <w:rFonts w:hint="eastAsia" w:ascii="宋体" w:hAnsi="宋体"/>
                <w:color w:val="000000"/>
                <w:kern w:val="0"/>
                <w:sz w:val="22"/>
                <w:szCs w:val="22"/>
              </w:rPr>
              <w:t>决策</w:t>
            </w:r>
          </w:p>
        </w:tc>
        <w:tc>
          <w:tcPr>
            <w:tcW w:w="812" w:type="dxa"/>
            <w:vMerge w:val="restart"/>
            <w:shd w:val="clear" w:color="auto" w:fill="FFFFFF"/>
            <w:vAlign w:val="center"/>
          </w:tcPr>
          <w:p w14:paraId="44D18706">
            <w:pPr>
              <w:widowControl/>
              <w:spacing w:line="360" w:lineRule="exact"/>
              <w:jc w:val="center"/>
              <w:rPr>
                <w:rFonts w:ascii="宋体" w:hAnsi="宋体"/>
                <w:color w:val="000000"/>
                <w:kern w:val="0"/>
                <w:sz w:val="22"/>
                <w:szCs w:val="22"/>
              </w:rPr>
            </w:pPr>
            <w:r>
              <w:rPr>
                <w:rFonts w:hint="eastAsia" w:ascii="宋体" w:hAnsi="宋体"/>
                <w:color w:val="000000"/>
                <w:kern w:val="0"/>
                <w:sz w:val="22"/>
                <w:szCs w:val="22"/>
              </w:rPr>
              <w:t>项目立项</w:t>
            </w:r>
          </w:p>
        </w:tc>
        <w:tc>
          <w:tcPr>
            <w:tcW w:w="789" w:type="dxa"/>
            <w:shd w:val="clear" w:color="auto" w:fill="FFFFFF"/>
            <w:vAlign w:val="center"/>
          </w:tcPr>
          <w:p w14:paraId="4ABD377E">
            <w:pPr>
              <w:widowControl/>
              <w:spacing w:line="360" w:lineRule="exact"/>
              <w:jc w:val="center"/>
              <w:rPr>
                <w:rFonts w:ascii="宋体" w:hAnsi="宋体"/>
                <w:color w:val="000000"/>
                <w:kern w:val="0"/>
                <w:sz w:val="22"/>
                <w:szCs w:val="22"/>
              </w:rPr>
            </w:pPr>
            <w:r>
              <w:rPr>
                <w:rFonts w:hint="eastAsia" w:ascii="宋体" w:hAnsi="宋体"/>
                <w:color w:val="000000"/>
                <w:kern w:val="0"/>
                <w:sz w:val="22"/>
                <w:szCs w:val="22"/>
              </w:rPr>
              <w:t>立项依据</w:t>
            </w:r>
          </w:p>
          <w:p w14:paraId="1CE3E297">
            <w:pPr>
              <w:widowControl/>
              <w:spacing w:line="360" w:lineRule="exact"/>
              <w:jc w:val="center"/>
              <w:rPr>
                <w:rFonts w:ascii="宋体" w:hAnsi="宋体"/>
                <w:color w:val="000000"/>
                <w:kern w:val="0"/>
                <w:sz w:val="22"/>
                <w:szCs w:val="22"/>
              </w:rPr>
            </w:pPr>
            <w:r>
              <w:rPr>
                <w:rFonts w:hint="eastAsia" w:ascii="宋体" w:hAnsi="宋体"/>
                <w:color w:val="000000"/>
                <w:kern w:val="0"/>
                <w:sz w:val="22"/>
                <w:szCs w:val="22"/>
              </w:rPr>
              <w:t>充分性</w:t>
            </w:r>
          </w:p>
        </w:tc>
        <w:tc>
          <w:tcPr>
            <w:tcW w:w="2599" w:type="dxa"/>
            <w:shd w:val="clear" w:color="auto" w:fill="FFFFFF"/>
            <w:vAlign w:val="center"/>
          </w:tcPr>
          <w:p w14:paraId="0F5FF578">
            <w:pPr>
              <w:widowControl/>
              <w:spacing w:line="360" w:lineRule="exact"/>
              <w:rPr>
                <w:rFonts w:ascii="宋体" w:hAnsi="宋体"/>
                <w:color w:val="000000"/>
                <w:kern w:val="0"/>
                <w:sz w:val="22"/>
                <w:szCs w:val="22"/>
              </w:rPr>
            </w:pPr>
            <w:r>
              <w:rPr>
                <w:rFonts w:hint="eastAsia" w:ascii="宋体" w:hAnsi="宋体"/>
                <w:color w:val="000000"/>
                <w:kern w:val="0"/>
                <w:sz w:val="22"/>
                <w:szCs w:val="22"/>
              </w:rPr>
              <w:t>项目立项是否符合法律法规、相关政策、发展规划以及部门职责，用以反映和考核项目立项依据情况。</w:t>
            </w:r>
          </w:p>
        </w:tc>
        <w:tc>
          <w:tcPr>
            <w:tcW w:w="5368" w:type="dxa"/>
            <w:shd w:val="clear" w:color="auto" w:fill="FFFFFF"/>
            <w:vAlign w:val="center"/>
          </w:tcPr>
          <w:p w14:paraId="4B3B2BFF">
            <w:pPr>
              <w:widowControl/>
              <w:spacing w:line="360" w:lineRule="exact"/>
              <w:jc w:val="left"/>
              <w:rPr>
                <w:rFonts w:ascii="宋体" w:hAnsi="宋体"/>
                <w:color w:val="000000"/>
                <w:kern w:val="0"/>
                <w:sz w:val="22"/>
                <w:szCs w:val="22"/>
              </w:rPr>
            </w:pPr>
            <w:r>
              <w:rPr>
                <w:rFonts w:hint="eastAsia" w:ascii="宋体" w:hAnsi="宋体"/>
                <w:color w:val="000000"/>
                <w:kern w:val="0"/>
                <w:sz w:val="22"/>
                <w:szCs w:val="22"/>
              </w:rPr>
              <w:t>评价要点：</w:t>
            </w:r>
            <w:r>
              <w:rPr>
                <w:rFonts w:hint="eastAsia" w:ascii="宋体" w:hAnsi="宋体"/>
                <w:color w:val="000000"/>
                <w:kern w:val="0"/>
                <w:sz w:val="22"/>
                <w:szCs w:val="22"/>
              </w:rPr>
              <w:br w:type="textWrapping"/>
            </w:r>
            <w:r>
              <w:rPr>
                <w:rFonts w:hint="eastAsia" w:ascii="宋体" w:hAnsi="宋体"/>
                <w:color w:val="000000"/>
                <w:kern w:val="0"/>
                <w:sz w:val="22"/>
                <w:szCs w:val="22"/>
              </w:rPr>
              <w:t>①项目立项是否符合国家法律法规、国民经济发展规划和相关政策；</w:t>
            </w:r>
            <w:r>
              <w:rPr>
                <w:rFonts w:hint="eastAsia" w:ascii="宋体" w:hAnsi="宋体"/>
                <w:color w:val="000000"/>
                <w:kern w:val="0"/>
                <w:sz w:val="22"/>
                <w:szCs w:val="22"/>
              </w:rPr>
              <w:br w:type="textWrapping"/>
            </w:r>
            <w:r>
              <w:rPr>
                <w:rFonts w:hint="eastAsia" w:ascii="宋体" w:hAnsi="宋体"/>
                <w:color w:val="000000"/>
                <w:kern w:val="0"/>
                <w:sz w:val="22"/>
                <w:szCs w:val="22"/>
              </w:rPr>
              <w:t>②项目立项是否符合行业发展规划和政策要求；</w:t>
            </w:r>
            <w:r>
              <w:rPr>
                <w:rFonts w:hint="eastAsia" w:ascii="宋体" w:hAnsi="宋体"/>
                <w:color w:val="000000"/>
                <w:kern w:val="0"/>
                <w:sz w:val="22"/>
                <w:szCs w:val="22"/>
              </w:rPr>
              <w:br w:type="textWrapping"/>
            </w:r>
            <w:r>
              <w:rPr>
                <w:rFonts w:hint="eastAsia" w:ascii="宋体" w:hAnsi="宋体"/>
                <w:color w:val="000000"/>
                <w:kern w:val="0"/>
                <w:sz w:val="22"/>
                <w:szCs w:val="22"/>
              </w:rPr>
              <w:t>③项目立项是否与部门职责范围相符，属于部门履职所需；</w:t>
            </w:r>
            <w:r>
              <w:rPr>
                <w:rFonts w:hint="eastAsia" w:ascii="宋体" w:hAnsi="宋体"/>
                <w:color w:val="000000"/>
                <w:kern w:val="0"/>
                <w:sz w:val="22"/>
                <w:szCs w:val="22"/>
              </w:rPr>
              <w:br w:type="textWrapping"/>
            </w:r>
            <w:r>
              <w:rPr>
                <w:rFonts w:hint="eastAsia" w:ascii="宋体" w:hAnsi="宋体"/>
                <w:color w:val="000000"/>
                <w:kern w:val="0"/>
                <w:sz w:val="22"/>
                <w:szCs w:val="22"/>
              </w:rPr>
              <w:t>④项目是否属于公共财政支持范围，是否符合中央、地方事权支出责任划分原则；</w:t>
            </w:r>
            <w:r>
              <w:rPr>
                <w:rFonts w:hint="eastAsia" w:ascii="宋体" w:hAnsi="宋体"/>
                <w:color w:val="000000"/>
                <w:kern w:val="0"/>
                <w:sz w:val="22"/>
                <w:szCs w:val="22"/>
              </w:rPr>
              <w:br w:type="textWrapping"/>
            </w:r>
            <w:r>
              <w:rPr>
                <w:rFonts w:hint="eastAsia" w:ascii="宋体" w:hAnsi="宋体"/>
                <w:color w:val="000000"/>
                <w:kern w:val="0"/>
                <w:sz w:val="22"/>
                <w:szCs w:val="22"/>
              </w:rPr>
              <w:t>⑤项目是否与相关部门同类项目或部门内部相关项目重复。</w:t>
            </w:r>
          </w:p>
        </w:tc>
      </w:tr>
      <w:tr w14:paraId="2B3C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61" w:type="dxa"/>
            <w:vMerge w:val="continue"/>
            <w:shd w:val="clear" w:color="auto" w:fill="auto"/>
            <w:vAlign w:val="center"/>
          </w:tcPr>
          <w:p w14:paraId="54E3E974">
            <w:pPr>
              <w:widowControl/>
              <w:spacing w:line="360" w:lineRule="exact"/>
              <w:jc w:val="left"/>
              <w:rPr>
                <w:rFonts w:ascii="宋体" w:hAnsi="宋体"/>
                <w:color w:val="000000"/>
                <w:kern w:val="0"/>
                <w:sz w:val="22"/>
                <w:szCs w:val="22"/>
              </w:rPr>
            </w:pPr>
          </w:p>
        </w:tc>
        <w:tc>
          <w:tcPr>
            <w:tcW w:w="812" w:type="dxa"/>
            <w:vMerge w:val="continue"/>
            <w:shd w:val="clear" w:color="auto" w:fill="auto"/>
            <w:vAlign w:val="center"/>
          </w:tcPr>
          <w:p w14:paraId="79040F70">
            <w:pPr>
              <w:widowControl/>
              <w:spacing w:line="360" w:lineRule="exact"/>
              <w:jc w:val="left"/>
              <w:rPr>
                <w:rFonts w:ascii="宋体" w:hAnsi="宋体"/>
                <w:color w:val="000000"/>
                <w:kern w:val="0"/>
                <w:sz w:val="22"/>
                <w:szCs w:val="22"/>
              </w:rPr>
            </w:pPr>
          </w:p>
        </w:tc>
        <w:tc>
          <w:tcPr>
            <w:tcW w:w="789" w:type="dxa"/>
            <w:shd w:val="clear" w:color="auto" w:fill="FFFFFF"/>
            <w:vAlign w:val="center"/>
          </w:tcPr>
          <w:p w14:paraId="55CA845A">
            <w:pPr>
              <w:widowControl/>
              <w:spacing w:line="360" w:lineRule="exact"/>
              <w:jc w:val="center"/>
              <w:rPr>
                <w:rFonts w:ascii="宋体" w:hAnsi="宋体"/>
                <w:color w:val="000000"/>
                <w:kern w:val="0"/>
                <w:sz w:val="22"/>
                <w:szCs w:val="22"/>
              </w:rPr>
            </w:pPr>
            <w:r>
              <w:rPr>
                <w:rFonts w:hint="eastAsia" w:ascii="宋体" w:hAnsi="宋体"/>
                <w:color w:val="000000"/>
                <w:kern w:val="0"/>
                <w:sz w:val="22"/>
                <w:szCs w:val="22"/>
              </w:rPr>
              <w:t>立项程序</w:t>
            </w:r>
          </w:p>
          <w:p w14:paraId="47C7177F">
            <w:pPr>
              <w:widowControl/>
              <w:spacing w:line="360" w:lineRule="exact"/>
              <w:jc w:val="center"/>
              <w:rPr>
                <w:rFonts w:ascii="宋体" w:hAnsi="宋体"/>
                <w:color w:val="000000"/>
                <w:kern w:val="0"/>
                <w:sz w:val="22"/>
                <w:szCs w:val="22"/>
              </w:rPr>
            </w:pPr>
            <w:r>
              <w:rPr>
                <w:rFonts w:hint="eastAsia" w:ascii="宋体" w:hAnsi="宋体"/>
                <w:color w:val="000000"/>
                <w:kern w:val="0"/>
                <w:sz w:val="22"/>
                <w:szCs w:val="22"/>
              </w:rPr>
              <w:t>规范性</w:t>
            </w:r>
          </w:p>
        </w:tc>
        <w:tc>
          <w:tcPr>
            <w:tcW w:w="2599" w:type="dxa"/>
            <w:shd w:val="clear" w:color="auto" w:fill="FFFFFF"/>
            <w:vAlign w:val="center"/>
          </w:tcPr>
          <w:p w14:paraId="183D5815">
            <w:pPr>
              <w:widowControl/>
              <w:spacing w:line="360" w:lineRule="exact"/>
              <w:rPr>
                <w:rFonts w:ascii="宋体" w:hAnsi="宋体"/>
                <w:color w:val="000000"/>
                <w:kern w:val="0"/>
                <w:sz w:val="22"/>
                <w:szCs w:val="22"/>
              </w:rPr>
            </w:pPr>
            <w:r>
              <w:rPr>
                <w:rFonts w:hint="eastAsia" w:ascii="宋体" w:hAnsi="宋体"/>
                <w:color w:val="000000"/>
                <w:kern w:val="0"/>
                <w:sz w:val="22"/>
                <w:szCs w:val="22"/>
              </w:rPr>
              <w:t>项目申请、设立过程是否符合相关要求，用以反映和考核项目立项的规范情况。</w:t>
            </w:r>
          </w:p>
        </w:tc>
        <w:tc>
          <w:tcPr>
            <w:tcW w:w="5368" w:type="dxa"/>
            <w:shd w:val="clear" w:color="auto" w:fill="FFFFFF"/>
            <w:vAlign w:val="center"/>
          </w:tcPr>
          <w:p w14:paraId="7853C34E">
            <w:pPr>
              <w:widowControl/>
              <w:spacing w:line="360" w:lineRule="exact"/>
              <w:jc w:val="left"/>
              <w:rPr>
                <w:rFonts w:ascii="宋体" w:hAnsi="宋体"/>
                <w:color w:val="000000"/>
                <w:kern w:val="0"/>
                <w:sz w:val="22"/>
                <w:szCs w:val="22"/>
              </w:rPr>
            </w:pPr>
            <w:r>
              <w:rPr>
                <w:rFonts w:hint="eastAsia" w:ascii="宋体" w:hAnsi="宋体"/>
                <w:color w:val="000000"/>
                <w:kern w:val="0"/>
                <w:sz w:val="22"/>
                <w:szCs w:val="22"/>
              </w:rPr>
              <w:t>评价要点：</w:t>
            </w:r>
            <w:r>
              <w:rPr>
                <w:rFonts w:hint="eastAsia" w:ascii="宋体" w:hAnsi="宋体"/>
                <w:color w:val="000000"/>
                <w:kern w:val="0"/>
                <w:sz w:val="22"/>
                <w:szCs w:val="22"/>
              </w:rPr>
              <w:br w:type="textWrapping"/>
            </w:r>
            <w:r>
              <w:rPr>
                <w:rFonts w:hint="eastAsia" w:ascii="宋体" w:hAnsi="宋体"/>
                <w:color w:val="000000"/>
                <w:kern w:val="0"/>
                <w:sz w:val="22"/>
                <w:szCs w:val="22"/>
              </w:rPr>
              <w:t>①项目是否按照规定的程序申请设立；</w:t>
            </w:r>
            <w:r>
              <w:rPr>
                <w:rFonts w:hint="eastAsia" w:ascii="宋体" w:hAnsi="宋体"/>
                <w:color w:val="000000"/>
                <w:kern w:val="0"/>
                <w:sz w:val="22"/>
                <w:szCs w:val="22"/>
              </w:rPr>
              <w:br w:type="textWrapping"/>
            </w:r>
            <w:r>
              <w:rPr>
                <w:rFonts w:hint="eastAsia" w:ascii="宋体" w:hAnsi="宋体"/>
                <w:color w:val="000000"/>
                <w:kern w:val="0"/>
                <w:sz w:val="22"/>
                <w:szCs w:val="22"/>
              </w:rPr>
              <w:t>②审批文件、材料是否符合相关要求；</w:t>
            </w:r>
            <w:r>
              <w:rPr>
                <w:rFonts w:hint="eastAsia" w:ascii="宋体" w:hAnsi="宋体"/>
                <w:color w:val="000000"/>
                <w:kern w:val="0"/>
                <w:sz w:val="22"/>
                <w:szCs w:val="22"/>
              </w:rPr>
              <w:br w:type="textWrapping"/>
            </w:r>
            <w:r>
              <w:rPr>
                <w:rFonts w:hint="eastAsia" w:ascii="宋体" w:hAnsi="宋体"/>
                <w:color w:val="000000"/>
                <w:kern w:val="0"/>
                <w:sz w:val="22"/>
                <w:szCs w:val="22"/>
              </w:rPr>
              <w:t>③事前是否已经过必要的可行性研究、专家论证、风险评估、绩效评估、集体决策。</w:t>
            </w:r>
          </w:p>
        </w:tc>
      </w:tr>
      <w:tr w14:paraId="25B7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861" w:type="dxa"/>
            <w:vMerge w:val="continue"/>
            <w:shd w:val="clear" w:color="auto" w:fill="auto"/>
            <w:vAlign w:val="center"/>
          </w:tcPr>
          <w:p w14:paraId="3F10A7F1">
            <w:pPr>
              <w:widowControl/>
              <w:spacing w:line="360" w:lineRule="exact"/>
              <w:jc w:val="left"/>
              <w:rPr>
                <w:rFonts w:ascii="宋体" w:hAnsi="宋体"/>
                <w:color w:val="000000"/>
                <w:kern w:val="0"/>
                <w:sz w:val="22"/>
                <w:szCs w:val="22"/>
              </w:rPr>
            </w:pPr>
          </w:p>
        </w:tc>
        <w:tc>
          <w:tcPr>
            <w:tcW w:w="812" w:type="dxa"/>
            <w:shd w:val="clear" w:color="auto" w:fill="FFFFFF"/>
            <w:vAlign w:val="center"/>
          </w:tcPr>
          <w:p w14:paraId="1C4517D2">
            <w:pPr>
              <w:widowControl/>
              <w:spacing w:line="360" w:lineRule="exact"/>
              <w:jc w:val="center"/>
              <w:rPr>
                <w:rFonts w:ascii="宋体" w:hAnsi="宋体"/>
                <w:color w:val="000000"/>
                <w:kern w:val="0"/>
                <w:sz w:val="22"/>
                <w:szCs w:val="22"/>
              </w:rPr>
            </w:pPr>
            <w:r>
              <w:rPr>
                <w:rFonts w:hint="eastAsia" w:ascii="宋体" w:hAnsi="宋体"/>
                <w:color w:val="000000"/>
                <w:kern w:val="0"/>
                <w:sz w:val="22"/>
                <w:szCs w:val="22"/>
              </w:rPr>
              <w:t>绩效目标</w:t>
            </w:r>
          </w:p>
        </w:tc>
        <w:tc>
          <w:tcPr>
            <w:tcW w:w="789" w:type="dxa"/>
            <w:shd w:val="clear" w:color="auto" w:fill="FFFFFF"/>
            <w:vAlign w:val="center"/>
          </w:tcPr>
          <w:p w14:paraId="09C350AF">
            <w:pPr>
              <w:widowControl/>
              <w:spacing w:line="360" w:lineRule="exact"/>
              <w:jc w:val="center"/>
              <w:rPr>
                <w:rFonts w:ascii="宋体" w:hAnsi="宋体"/>
                <w:color w:val="000000"/>
                <w:kern w:val="0"/>
                <w:sz w:val="22"/>
                <w:szCs w:val="22"/>
              </w:rPr>
            </w:pPr>
            <w:r>
              <w:rPr>
                <w:rFonts w:hint="eastAsia" w:ascii="宋体" w:hAnsi="宋体"/>
                <w:color w:val="000000"/>
                <w:kern w:val="0"/>
                <w:sz w:val="22"/>
                <w:szCs w:val="22"/>
              </w:rPr>
              <w:t>绩效目标</w:t>
            </w:r>
          </w:p>
          <w:p w14:paraId="7368C39D">
            <w:pPr>
              <w:widowControl/>
              <w:spacing w:line="360" w:lineRule="exact"/>
              <w:jc w:val="center"/>
              <w:rPr>
                <w:rFonts w:ascii="宋体" w:hAnsi="宋体"/>
                <w:color w:val="000000"/>
                <w:kern w:val="0"/>
                <w:sz w:val="22"/>
                <w:szCs w:val="22"/>
              </w:rPr>
            </w:pPr>
            <w:r>
              <w:rPr>
                <w:rFonts w:hint="eastAsia" w:ascii="宋体" w:hAnsi="宋体"/>
                <w:color w:val="000000"/>
                <w:kern w:val="0"/>
                <w:sz w:val="22"/>
                <w:szCs w:val="22"/>
              </w:rPr>
              <w:t>合理性</w:t>
            </w:r>
          </w:p>
        </w:tc>
        <w:tc>
          <w:tcPr>
            <w:tcW w:w="2599" w:type="dxa"/>
            <w:shd w:val="clear" w:color="auto" w:fill="FFFFFF"/>
            <w:vAlign w:val="center"/>
          </w:tcPr>
          <w:p w14:paraId="2741705E">
            <w:pPr>
              <w:widowControl/>
              <w:spacing w:line="360" w:lineRule="exact"/>
              <w:rPr>
                <w:rFonts w:ascii="宋体" w:hAnsi="宋体"/>
                <w:color w:val="000000"/>
                <w:kern w:val="0"/>
                <w:sz w:val="22"/>
                <w:szCs w:val="22"/>
              </w:rPr>
            </w:pPr>
            <w:r>
              <w:rPr>
                <w:rFonts w:hint="eastAsia" w:ascii="宋体" w:hAnsi="宋体"/>
                <w:color w:val="000000"/>
                <w:kern w:val="0"/>
                <w:sz w:val="22"/>
                <w:szCs w:val="22"/>
              </w:rPr>
              <w:t>项目所设定的绩效目标是否依据充分，是否符合客观实际，用以反映和考核项目绩效目标与项目实施的相符情况。</w:t>
            </w:r>
          </w:p>
        </w:tc>
        <w:tc>
          <w:tcPr>
            <w:tcW w:w="5368" w:type="dxa"/>
            <w:shd w:val="clear" w:color="auto" w:fill="FFFFFF"/>
            <w:vAlign w:val="center"/>
          </w:tcPr>
          <w:p w14:paraId="5CE5C050">
            <w:pPr>
              <w:widowControl/>
              <w:spacing w:line="360" w:lineRule="exact"/>
              <w:jc w:val="left"/>
              <w:rPr>
                <w:rFonts w:ascii="宋体" w:hAnsi="宋体"/>
                <w:color w:val="000000"/>
                <w:kern w:val="0"/>
                <w:sz w:val="22"/>
                <w:szCs w:val="22"/>
              </w:rPr>
            </w:pPr>
            <w:r>
              <w:rPr>
                <w:rFonts w:hint="eastAsia" w:ascii="宋体" w:hAnsi="宋体"/>
                <w:color w:val="000000"/>
                <w:kern w:val="0"/>
                <w:sz w:val="22"/>
                <w:szCs w:val="22"/>
              </w:rPr>
              <w:t>评价要点：</w:t>
            </w:r>
            <w:r>
              <w:rPr>
                <w:rFonts w:hint="eastAsia" w:ascii="宋体" w:hAnsi="宋体"/>
                <w:color w:val="000000"/>
                <w:kern w:val="0"/>
                <w:sz w:val="22"/>
                <w:szCs w:val="22"/>
              </w:rPr>
              <w:br w:type="textWrapping"/>
            </w:r>
            <w:r>
              <w:rPr>
                <w:rFonts w:hint="eastAsia" w:ascii="宋体" w:hAnsi="宋体"/>
                <w:color w:val="000000"/>
                <w:kern w:val="0"/>
                <w:sz w:val="22"/>
                <w:szCs w:val="22"/>
              </w:rPr>
              <w:t>（如未设定预算绩效目标，也可考核其他工作任务目标）</w:t>
            </w:r>
            <w:r>
              <w:rPr>
                <w:rFonts w:hint="eastAsia" w:ascii="宋体" w:hAnsi="宋体"/>
                <w:color w:val="000000"/>
                <w:kern w:val="0"/>
                <w:sz w:val="22"/>
                <w:szCs w:val="22"/>
              </w:rPr>
              <w:br w:type="textWrapping"/>
            </w:r>
            <w:r>
              <w:rPr>
                <w:rFonts w:hint="eastAsia" w:ascii="宋体" w:hAnsi="宋体"/>
                <w:color w:val="000000"/>
                <w:kern w:val="0"/>
                <w:sz w:val="22"/>
                <w:szCs w:val="22"/>
              </w:rPr>
              <w:t>①项目是否有绩效目标；</w:t>
            </w:r>
            <w:r>
              <w:rPr>
                <w:rFonts w:hint="eastAsia" w:ascii="宋体" w:hAnsi="宋体"/>
                <w:color w:val="000000"/>
                <w:kern w:val="0"/>
                <w:sz w:val="22"/>
                <w:szCs w:val="22"/>
              </w:rPr>
              <w:br w:type="textWrapping"/>
            </w:r>
            <w:r>
              <w:rPr>
                <w:rFonts w:hint="eastAsia" w:ascii="宋体" w:hAnsi="宋体"/>
                <w:color w:val="000000"/>
                <w:kern w:val="0"/>
                <w:sz w:val="22"/>
                <w:szCs w:val="22"/>
              </w:rPr>
              <w:t>②项目绩效目标与实际工作内容是否具有相关性；</w:t>
            </w:r>
            <w:r>
              <w:rPr>
                <w:rFonts w:hint="eastAsia" w:ascii="宋体" w:hAnsi="宋体"/>
                <w:color w:val="000000"/>
                <w:kern w:val="0"/>
                <w:sz w:val="22"/>
                <w:szCs w:val="22"/>
              </w:rPr>
              <w:br w:type="textWrapping"/>
            </w:r>
            <w:r>
              <w:rPr>
                <w:rFonts w:hint="eastAsia" w:ascii="宋体" w:hAnsi="宋体"/>
                <w:color w:val="000000"/>
                <w:kern w:val="0"/>
                <w:sz w:val="22"/>
                <w:szCs w:val="22"/>
              </w:rPr>
              <w:t>③项目预期产出效益和效果是否符合正常的业绩水平；</w:t>
            </w:r>
          </w:p>
          <w:p w14:paraId="0510E20A">
            <w:pPr>
              <w:widowControl/>
              <w:spacing w:line="360" w:lineRule="exact"/>
              <w:jc w:val="left"/>
              <w:rPr>
                <w:rFonts w:ascii="宋体" w:hAnsi="宋体"/>
                <w:color w:val="000000"/>
                <w:kern w:val="0"/>
                <w:sz w:val="22"/>
                <w:szCs w:val="22"/>
              </w:rPr>
            </w:pPr>
            <w:r>
              <w:rPr>
                <w:rFonts w:hint="eastAsia" w:ascii="宋体" w:hAnsi="宋体"/>
                <w:color w:val="000000"/>
                <w:kern w:val="0"/>
                <w:sz w:val="22"/>
                <w:szCs w:val="22"/>
              </w:rPr>
              <w:t>④是否与预算确定的项目投资额或资金量相匹配。</w:t>
            </w:r>
          </w:p>
        </w:tc>
      </w:tr>
      <w:tr w14:paraId="7232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61" w:type="dxa"/>
            <w:vMerge w:val="restart"/>
            <w:shd w:val="clear" w:color="auto" w:fill="FFFFFF"/>
            <w:vAlign w:val="center"/>
          </w:tcPr>
          <w:p w14:paraId="726A869D">
            <w:pPr>
              <w:widowControl/>
              <w:spacing w:line="360" w:lineRule="exact"/>
              <w:jc w:val="center"/>
              <w:rPr>
                <w:rFonts w:ascii="宋体" w:hAnsi="宋体"/>
                <w:color w:val="000000"/>
                <w:kern w:val="0"/>
                <w:sz w:val="22"/>
                <w:szCs w:val="22"/>
              </w:rPr>
            </w:pPr>
            <w:r>
              <w:rPr>
                <w:rFonts w:hint="eastAsia" w:ascii="宋体" w:hAnsi="宋体"/>
                <w:color w:val="000000"/>
                <w:kern w:val="0"/>
                <w:sz w:val="22"/>
                <w:szCs w:val="22"/>
              </w:rPr>
              <w:t>决策</w:t>
            </w:r>
          </w:p>
        </w:tc>
        <w:tc>
          <w:tcPr>
            <w:tcW w:w="812" w:type="dxa"/>
            <w:shd w:val="clear" w:color="auto" w:fill="FFFFFF"/>
            <w:vAlign w:val="center"/>
          </w:tcPr>
          <w:p w14:paraId="72E03FBB">
            <w:pPr>
              <w:widowControl/>
              <w:spacing w:line="360" w:lineRule="exact"/>
              <w:jc w:val="center"/>
              <w:rPr>
                <w:rFonts w:ascii="宋体" w:hAnsi="宋体"/>
                <w:color w:val="000000"/>
                <w:kern w:val="0"/>
                <w:sz w:val="22"/>
                <w:szCs w:val="22"/>
              </w:rPr>
            </w:pPr>
            <w:r>
              <w:rPr>
                <w:rFonts w:hint="eastAsia" w:ascii="宋体" w:hAnsi="宋体"/>
                <w:color w:val="000000"/>
                <w:kern w:val="0"/>
                <w:sz w:val="22"/>
                <w:szCs w:val="22"/>
              </w:rPr>
              <w:t>绩效目标</w:t>
            </w:r>
          </w:p>
        </w:tc>
        <w:tc>
          <w:tcPr>
            <w:tcW w:w="789" w:type="dxa"/>
            <w:shd w:val="clear" w:color="auto" w:fill="FFFFFF"/>
            <w:vAlign w:val="center"/>
          </w:tcPr>
          <w:p w14:paraId="2AF08189">
            <w:pPr>
              <w:widowControl/>
              <w:spacing w:line="360" w:lineRule="exact"/>
              <w:jc w:val="center"/>
              <w:rPr>
                <w:rFonts w:ascii="宋体" w:hAnsi="宋体"/>
                <w:color w:val="000000"/>
                <w:kern w:val="0"/>
                <w:sz w:val="22"/>
                <w:szCs w:val="22"/>
              </w:rPr>
            </w:pPr>
            <w:r>
              <w:rPr>
                <w:rFonts w:hint="eastAsia" w:ascii="宋体" w:hAnsi="宋体"/>
                <w:color w:val="000000"/>
                <w:kern w:val="0"/>
                <w:sz w:val="22"/>
                <w:szCs w:val="22"/>
              </w:rPr>
              <w:t>绩效指标</w:t>
            </w:r>
          </w:p>
          <w:p w14:paraId="659AAFAD">
            <w:pPr>
              <w:widowControl/>
              <w:spacing w:line="360" w:lineRule="exact"/>
              <w:jc w:val="center"/>
              <w:rPr>
                <w:rFonts w:ascii="宋体" w:hAnsi="宋体"/>
                <w:color w:val="000000"/>
                <w:kern w:val="0"/>
                <w:sz w:val="22"/>
                <w:szCs w:val="22"/>
              </w:rPr>
            </w:pPr>
            <w:r>
              <w:rPr>
                <w:rFonts w:hint="eastAsia" w:ascii="宋体" w:hAnsi="宋体"/>
                <w:color w:val="000000"/>
                <w:kern w:val="0"/>
                <w:sz w:val="22"/>
                <w:szCs w:val="22"/>
              </w:rPr>
              <w:t>明确性</w:t>
            </w:r>
          </w:p>
        </w:tc>
        <w:tc>
          <w:tcPr>
            <w:tcW w:w="2599" w:type="dxa"/>
            <w:shd w:val="clear" w:color="auto" w:fill="FFFFFF"/>
            <w:vAlign w:val="center"/>
          </w:tcPr>
          <w:p w14:paraId="6E10359D">
            <w:pPr>
              <w:widowControl/>
              <w:spacing w:line="360" w:lineRule="exact"/>
              <w:rPr>
                <w:rFonts w:ascii="宋体" w:hAnsi="宋体"/>
                <w:color w:val="000000"/>
                <w:kern w:val="0"/>
                <w:sz w:val="22"/>
                <w:szCs w:val="22"/>
              </w:rPr>
            </w:pPr>
            <w:r>
              <w:rPr>
                <w:rFonts w:hint="eastAsia" w:ascii="宋体" w:hAnsi="宋体"/>
                <w:color w:val="000000"/>
                <w:kern w:val="0"/>
                <w:sz w:val="22"/>
                <w:szCs w:val="22"/>
              </w:rPr>
              <w:t>依据绩效目标设定的绩效指标是否清晰、细化、可衡量等，用以反映和考核项目绩效目标的明细化情况。</w:t>
            </w:r>
          </w:p>
        </w:tc>
        <w:tc>
          <w:tcPr>
            <w:tcW w:w="5368" w:type="dxa"/>
            <w:shd w:val="clear" w:color="auto" w:fill="FFFFFF"/>
            <w:vAlign w:val="center"/>
          </w:tcPr>
          <w:p w14:paraId="6653EDF6">
            <w:pPr>
              <w:widowControl/>
              <w:spacing w:line="360" w:lineRule="exact"/>
              <w:rPr>
                <w:rFonts w:ascii="宋体" w:hAnsi="宋体"/>
                <w:color w:val="000000"/>
                <w:kern w:val="0"/>
                <w:sz w:val="22"/>
                <w:szCs w:val="22"/>
              </w:rPr>
            </w:pPr>
            <w:r>
              <w:rPr>
                <w:rFonts w:hint="eastAsia" w:ascii="宋体" w:hAnsi="宋体"/>
                <w:color w:val="000000"/>
                <w:kern w:val="0"/>
                <w:sz w:val="22"/>
                <w:szCs w:val="22"/>
              </w:rPr>
              <w:t>评价要点：</w:t>
            </w:r>
            <w:r>
              <w:rPr>
                <w:rFonts w:hint="eastAsia" w:ascii="宋体" w:hAnsi="宋体"/>
                <w:color w:val="000000"/>
                <w:kern w:val="0"/>
                <w:sz w:val="22"/>
                <w:szCs w:val="22"/>
              </w:rPr>
              <w:br w:type="textWrapping"/>
            </w:r>
            <w:r>
              <w:rPr>
                <w:rFonts w:hint="eastAsia" w:ascii="宋体" w:hAnsi="宋体"/>
                <w:color w:val="000000"/>
                <w:kern w:val="0"/>
                <w:sz w:val="22"/>
                <w:szCs w:val="22"/>
              </w:rPr>
              <w:t>①是否将项目绩效目标细化分解为具体的绩效指标；</w:t>
            </w:r>
            <w:r>
              <w:rPr>
                <w:rFonts w:hint="eastAsia" w:ascii="宋体" w:hAnsi="宋体"/>
                <w:color w:val="000000"/>
                <w:kern w:val="0"/>
                <w:sz w:val="22"/>
                <w:szCs w:val="22"/>
              </w:rPr>
              <w:br w:type="textWrapping"/>
            </w:r>
            <w:r>
              <w:rPr>
                <w:rFonts w:hint="eastAsia" w:ascii="宋体" w:hAnsi="宋体"/>
                <w:color w:val="000000"/>
                <w:kern w:val="0"/>
                <w:sz w:val="22"/>
                <w:szCs w:val="22"/>
              </w:rPr>
              <w:t>②是否通过清晰、可衡量的指标值予以体现；</w:t>
            </w:r>
            <w:r>
              <w:rPr>
                <w:rFonts w:hint="eastAsia" w:ascii="宋体" w:hAnsi="宋体"/>
                <w:color w:val="000000"/>
                <w:kern w:val="0"/>
                <w:sz w:val="22"/>
                <w:szCs w:val="22"/>
              </w:rPr>
              <w:br w:type="textWrapping"/>
            </w:r>
            <w:r>
              <w:rPr>
                <w:rFonts w:hint="eastAsia" w:ascii="宋体" w:hAnsi="宋体"/>
                <w:color w:val="000000"/>
                <w:kern w:val="0"/>
                <w:sz w:val="22"/>
                <w:szCs w:val="22"/>
              </w:rPr>
              <w:t>③是否与项目目标任务数或计划数相对应。</w:t>
            </w:r>
          </w:p>
        </w:tc>
      </w:tr>
      <w:tr w14:paraId="05B4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861" w:type="dxa"/>
            <w:vMerge w:val="continue"/>
            <w:shd w:val="clear" w:color="auto" w:fill="auto"/>
            <w:vAlign w:val="center"/>
          </w:tcPr>
          <w:p w14:paraId="621B9578">
            <w:pPr>
              <w:widowControl/>
              <w:jc w:val="left"/>
              <w:rPr>
                <w:rFonts w:ascii="宋体" w:hAnsi="宋体"/>
                <w:color w:val="000000"/>
                <w:kern w:val="0"/>
                <w:sz w:val="22"/>
                <w:szCs w:val="22"/>
              </w:rPr>
            </w:pPr>
          </w:p>
        </w:tc>
        <w:tc>
          <w:tcPr>
            <w:tcW w:w="812" w:type="dxa"/>
            <w:vMerge w:val="restart"/>
            <w:shd w:val="clear" w:color="auto" w:fill="FFFFFF"/>
            <w:vAlign w:val="center"/>
          </w:tcPr>
          <w:p w14:paraId="5416E11C">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资金投入</w:t>
            </w:r>
          </w:p>
        </w:tc>
        <w:tc>
          <w:tcPr>
            <w:tcW w:w="789" w:type="dxa"/>
            <w:shd w:val="clear" w:color="auto" w:fill="FFFFFF"/>
            <w:vAlign w:val="center"/>
          </w:tcPr>
          <w:p w14:paraId="116A700B">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预算编制</w:t>
            </w:r>
          </w:p>
          <w:p w14:paraId="261893B2">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科学性</w:t>
            </w:r>
          </w:p>
        </w:tc>
        <w:tc>
          <w:tcPr>
            <w:tcW w:w="2599" w:type="dxa"/>
            <w:shd w:val="clear" w:color="auto" w:fill="FFFFFF"/>
            <w:vAlign w:val="center"/>
          </w:tcPr>
          <w:p w14:paraId="1FF959AB">
            <w:pPr>
              <w:widowControl/>
              <w:spacing w:line="0" w:lineRule="atLeast"/>
              <w:rPr>
                <w:rFonts w:ascii="宋体" w:hAnsi="宋体"/>
                <w:color w:val="000000"/>
                <w:kern w:val="0"/>
                <w:sz w:val="22"/>
                <w:szCs w:val="22"/>
              </w:rPr>
            </w:pPr>
            <w:r>
              <w:rPr>
                <w:rFonts w:hint="eastAsia" w:ascii="宋体" w:hAnsi="宋体"/>
                <w:color w:val="000000"/>
                <w:kern w:val="0"/>
                <w:sz w:val="22"/>
                <w:szCs w:val="22"/>
              </w:rPr>
              <w:t>项目预算编制是否经过科学论证、有明确标准，资金额度与年度目标是否相适应，用以反映和考核项目预算编制的科学性、合理性情况。</w:t>
            </w:r>
          </w:p>
        </w:tc>
        <w:tc>
          <w:tcPr>
            <w:tcW w:w="5368" w:type="dxa"/>
            <w:shd w:val="clear" w:color="auto" w:fill="FFFFFF"/>
            <w:vAlign w:val="center"/>
          </w:tcPr>
          <w:p w14:paraId="4C7C3FE4">
            <w:pPr>
              <w:widowControl/>
              <w:spacing w:line="0" w:lineRule="atLeast"/>
              <w:rPr>
                <w:rFonts w:ascii="宋体" w:hAnsi="宋体"/>
                <w:color w:val="000000"/>
                <w:kern w:val="0"/>
                <w:sz w:val="22"/>
                <w:szCs w:val="22"/>
              </w:rPr>
            </w:pPr>
            <w:r>
              <w:rPr>
                <w:rFonts w:hint="eastAsia" w:ascii="宋体" w:hAnsi="宋体"/>
                <w:color w:val="000000"/>
                <w:kern w:val="0"/>
                <w:sz w:val="22"/>
                <w:szCs w:val="22"/>
              </w:rPr>
              <w:t>评价要点：</w:t>
            </w:r>
            <w:r>
              <w:rPr>
                <w:rFonts w:hint="eastAsia" w:ascii="宋体" w:hAnsi="宋体"/>
                <w:color w:val="000000"/>
                <w:kern w:val="0"/>
                <w:sz w:val="22"/>
                <w:szCs w:val="22"/>
              </w:rPr>
              <w:br w:type="textWrapping"/>
            </w:r>
            <w:r>
              <w:rPr>
                <w:rFonts w:hint="eastAsia" w:ascii="宋体" w:hAnsi="宋体"/>
                <w:color w:val="000000"/>
                <w:kern w:val="0"/>
                <w:sz w:val="22"/>
                <w:szCs w:val="22"/>
              </w:rPr>
              <w:t>①预算编制是否经过科学论证；</w:t>
            </w:r>
            <w:r>
              <w:rPr>
                <w:rFonts w:hint="eastAsia" w:ascii="宋体" w:hAnsi="宋体"/>
                <w:color w:val="000000"/>
                <w:kern w:val="0"/>
                <w:sz w:val="22"/>
                <w:szCs w:val="22"/>
              </w:rPr>
              <w:br w:type="textWrapping"/>
            </w:r>
            <w:r>
              <w:rPr>
                <w:rFonts w:hint="eastAsia" w:ascii="宋体" w:hAnsi="宋体"/>
                <w:color w:val="000000"/>
                <w:kern w:val="0"/>
                <w:sz w:val="22"/>
                <w:szCs w:val="22"/>
              </w:rPr>
              <w:t>②预算内容与项目内容是否匹配；</w:t>
            </w:r>
            <w:r>
              <w:rPr>
                <w:rFonts w:hint="eastAsia" w:ascii="宋体" w:hAnsi="宋体"/>
                <w:color w:val="000000"/>
                <w:kern w:val="0"/>
                <w:sz w:val="22"/>
                <w:szCs w:val="22"/>
              </w:rPr>
              <w:br w:type="textWrapping"/>
            </w:r>
            <w:r>
              <w:rPr>
                <w:rFonts w:hint="eastAsia" w:ascii="宋体" w:hAnsi="宋体"/>
                <w:color w:val="000000"/>
                <w:kern w:val="0"/>
                <w:sz w:val="22"/>
                <w:szCs w:val="22"/>
              </w:rPr>
              <w:t>③预算额度测算依据是否充分，是否按照标准编制；</w:t>
            </w:r>
            <w:r>
              <w:rPr>
                <w:rFonts w:hint="eastAsia" w:ascii="宋体" w:hAnsi="宋体"/>
                <w:color w:val="000000"/>
                <w:kern w:val="0"/>
                <w:sz w:val="22"/>
                <w:szCs w:val="22"/>
              </w:rPr>
              <w:br w:type="textWrapping"/>
            </w:r>
            <w:r>
              <w:rPr>
                <w:rFonts w:hint="eastAsia" w:ascii="宋体" w:hAnsi="宋体"/>
                <w:color w:val="000000"/>
                <w:kern w:val="0"/>
                <w:sz w:val="22"/>
                <w:szCs w:val="22"/>
              </w:rPr>
              <w:t>④预算确定的项目投资额或资金量是否与工作任务相匹配。</w:t>
            </w:r>
          </w:p>
        </w:tc>
      </w:tr>
      <w:tr w14:paraId="470B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861" w:type="dxa"/>
            <w:vMerge w:val="continue"/>
            <w:shd w:val="clear" w:color="auto" w:fill="auto"/>
            <w:vAlign w:val="center"/>
          </w:tcPr>
          <w:p w14:paraId="0E0E0C09">
            <w:pPr>
              <w:widowControl/>
              <w:jc w:val="left"/>
              <w:rPr>
                <w:rFonts w:ascii="宋体" w:hAnsi="宋体"/>
                <w:color w:val="000000"/>
                <w:kern w:val="0"/>
                <w:sz w:val="22"/>
                <w:szCs w:val="22"/>
              </w:rPr>
            </w:pPr>
          </w:p>
        </w:tc>
        <w:tc>
          <w:tcPr>
            <w:tcW w:w="812" w:type="dxa"/>
            <w:vMerge w:val="continue"/>
            <w:shd w:val="clear" w:color="auto" w:fill="auto"/>
            <w:vAlign w:val="center"/>
          </w:tcPr>
          <w:p w14:paraId="1BE0305A">
            <w:pPr>
              <w:widowControl/>
              <w:jc w:val="left"/>
              <w:rPr>
                <w:rFonts w:ascii="宋体" w:hAnsi="宋体"/>
                <w:color w:val="000000"/>
                <w:kern w:val="0"/>
                <w:sz w:val="22"/>
                <w:szCs w:val="22"/>
              </w:rPr>
            </w:pPr>
          </w:p>
        </w:tc>
        <w:tc>
          <w:tcPr>
            <w:tcW w:w="789" w:type="dxa"/>
            <w:shd w:val="clear" w:color="auto" w:fill="FFFFFF"/>
            <w:vAlign w:val="center"/>
          </w:tcPr>
          <w:p w14:paraId="4DC4ED22">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资金分配</w:t>
            </w:r>
          </w:p>
          <w:p w14:paraId="64EBB6CD">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合理性</w:t>
            </w:r>
          </w:p>
        </w:tc>
        <w:tc>
          <w:tcPr>
            <w:tcW w:w="2599" w:type="dxa"/>
            <w:shd w:val="clear" w:color="auto" w:fill="FFFFFF"/>
            <w:vAlign w:val="center"/>
          </w:tcPr>
          <w:p w14:paraId="68CB3059">
            <w:pPr>
              <w:widowControl/>
              <w:spacing w:line="0" w:lineRule="atLeast"/>
              <w:rPr>
                <w:rFonts w:ascii="宋体" w:hAnsi="宋体"/>
                <w:color w:val="000000"/>
                <w:kern w:val="0"/>
                <w:sz w:val="22"/>
                <w:szCs w:val="22"/>
              </w:rPr>
            </w:pPr>
            <w:r>
              <w:rPr>
                <w:rFonts w:hint="eastAsia" w:ascii="宋体" w:hAnsi="宋体"/>
                <w:color w:val="000000"/>
                <w:kern w:val="0"/>
                <w:sz w:val="22"/>
                <w:szCs w:val="22"/>
              </w:rPr>
              <w:t>项目预算资金分配是否有测算依据，与补助单位或地方实际是否相适应，用以反映和考核项目预算资金分配的科学性、合理性情况。</w:t>
            </w:r>
          </w:p>
        </w:tc>
        <w:tc>
          <w:tcPr>
            <w:tcW w:w="5368" w:type="dxa"/>
            <w:shd w:val="clear" w:color="auto" w:fill="FFFFFF"/>
            <w:vAlign w:val="center"/>
          </w:tcPr>
          <w:p w14:paraId="0BA6AC7E">
            <w:pPr>
              <w:widowControl/>
              <w:spacing w:line="0" w:lineRule="atLeast"/>
              <w:rPr>
                <w:rFonts w:ascii="宋体" w:hAnsi="宋体"/>
                <w:color w:val="000000"/>
                <w:kern w:val="0"/>
                <w:sz w:val="22"/>
                <w:szCs w:val="22"/>
              </w:rPr>
            </w:pPr>
            <w:r>
              <w:rPr>
                <w:rFonts w:hint="eastAsia" w:ascii="宋体" w:hAnsi="宋体"/>
                <w:color w:val="000000"/>
                <w:kern w:val="0"/>
                <w:sz w:val="22"/>
                <w:szCs w:val="22"/>
              </w:rPr>
              <w:t>评价要点：</w:t>
            </w:r>
            <w:r>
              <w:rPr>
                <w:rFonts w:hint="eastAsia" w:ascii="宋体" w:hAnsi="宋体"/>
                <w:color w:val="000000"/>
                <w:kern w:val="0"/>
                <w:sz w:val="22"/>
                <w:szCs w:val="22"/>
              </w:rPr>
              <w:br w:type="textWrapping"/>
            </w:r>
            <w:r>
              <w:rPr>
                <w:rFonts w:hint="eastAsia" w:ascii="宋体" w:hAnsi="宋体"/>
                <w:color w:val="000000"/>
                <w:kern w:val="0"/>
                <w:sz w:val="22"/>
                <w:szCs w:val="22"/>
              </w:rPr>
              <w:t>①预算资金分配依据是否充分；</w:t>
            </w:r>
            <w:r>
              <w:rPr>
                <w:rFonts w:hint="eastAsia" w:ascii="宋体" w:hAnsi="宋体"/>
                <w:color w:val="000000"/>
                <w:kern w:val="0"/>
                <w:sz w:val="22"/>
                <w:szCs w:val="22"/>
              </w:rPr>
              <w:br w:type="textWrapping"/>
            </w:r>
            <w:r>
              <w:rPr>
                <w:rFonts w:hint="eastAsia" w:ascii="宋体" w:hAnsi="宋体"/>
                <w:color w:val="000000"/>
                <w:kern w:val="0"/>
                <w:sz w:val="22"/>
                <w:szCs w:val="22"/>
              </w:rPr>
              <w:t>②资金分配额度是否合理，与项目单位或地方实际是否相适应。</w:t>
            </w:r>
          </w:p>
        </w:tc>
      </w:tr>
      <w:tr w14:paraId="100A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61" w:type="dxa"/>
            <w:vMerge w:val="restart"/>
            <w:shd w:val="clear" w:color="auto" w:fill="FFFFFF"/>
            <w:vAlign w:val="center"/>
          </w:tcPr>
          <w:p w14:paraId="16FA42B4">
            <w:pPr>
              <w:spacing w:line="0" w:lineRule="atLeast"/>
              <w:jc w:val="center"/>
              <w:rPr>
                <w:rFonts w:ascii="宋体" w:hAnsi="宋体"/>
                <w:color w:val="000000"/>
                <w:kern w:val="0"/>
                <w:sz w:val="22"/>
                <w:szCs w:val="22"/>
              </w:rPr>
            </w:pPr>
            <w:r>
              <w:rPr>
                <w:rFonts w:hint="eastAsia" w:ascii="宋体" w:hAnsi="宋体"/>
                <w:color w:val="000000"/>
                <w:kern w:val="0"/>
                <w:sz w:val="22"/>
                <w:szCs w:val="22"/>
              </w:rPr>
              <w:t>过程</w:t>
            </w:r>
          </w:p>
        </w:tc>
        <w:tc>
          <w:tcPr>
            <w:tcW w:w="812" w:type="dxa"/>
            <w:vMerge w:val="restart"/>
            <w:shd w:val="clear" w:color="auto" w:fill="FFFFFF"/>
            <w:vAlign w:val="center"/>
          </w:tcPr>
          <w:p w14:paraId="0829E501">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资金管理</w:t>
            </w:r>
          </w:p>
        </w:tc>
        <w:tc>
          <w:tcPr>
            <w:tcW w:w="789" w:type="dxa"/>
            <w:shd w:val="clear" w:color="auto" w:fill="FFFFFF"/>
            <w:vAlign w:val="center"/>
          </w:tcPr>
          <w:p w14:paraId="77EBBD7E">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资金到位率</w:t>
            </w:r>
          </w:p>
        </w:tc>
        <w:tc>
          <w:tcPr>
            <w:tcW w:w="2599" w:type="dxa"/>
            <w:shd w:val="clear" w:color="auto" w:fill="FFFFFF"/>
            <w:vAlign w:val="center"/>
          </w:tcPr>
          <w:p w14:paraId="1A271BDF">
            <w:pPr>
              <w:widowControl/>
              <w:spacing w:line="0" w:lineRule="atLeast"/>
              <w:rPr>
                <w:rFonts w:ascii="宋体" w:hAnsi="宋体"/>
                <w:color w:val="000000"/>
                <w:kern w:val="0"/>
                <w:sz w:val="22"/>
                <w:szCs w:val="22"/>
              </w:rPr>
            </w:pPr>
            <w:r>
              <w:rPr>
                <w:rFonts w:hint="eastAsia" w:ascii="宋体" w:hAnsi="宋体"/>
                <w:color w:val="000000"/>
                <w:kern w:val="0"/>
                <w:sz w:val="22"/>
                <w:szCs w:val="22"/>
              </w:rPr>
              <w:t>实际到位资金与预算资金的比率，用以反映和考核资金落实情况对项目实施的总体保障程度。</w:t>
            </w:r>
          </w:p>
        </w:tc>
        <w:tc>
          <w:tcPr>
            <w:tcW w:w="5368" w:type="dxa"/>
            <w:shd w:val="clear" w:color="auto" w:fill="FFFFFF"/>
            <w:vAlign w:val="center"/>
          </w:tcPr>
          <w:p w14:paraId="5EE32BBB">
            <w:pPr>
              <w:widowControl/>
              <w:spacing w:line="0" w:lineRule="atLeast"/>
              <w:rPr>
                <w:rFonts w:ascii="宋体" w:hAnsi="宋体"/>
                <w:color w:val="000000"/>
                <w:kern w:val="0"/>
                <w:sz w:val="22"/>
                <w:szCs w:val="22"/>
              </w:rPr>
            </w:pPr>
            <w:r>
              <w:rPr>
                <w:rFonts w:hint="eastAsia" w:ascii="宋体" w:hAnsi="宋体"/>
                <w:color w:val="000000"/>
                <w:kern w:val="0"/>
                <w:sz w:val="22"/>
                <w:szCs w:val="22"/>
              </w:rPr>
              <w:t>资金到位率=（实际到位资金/预算资金）×100%。</w:t>
            </w:r>
          </w:p>
          <w:p w14:paraId="2BBFDE62">
            <w:pPr>
              <w:widowControl/>
              <w:spacing w:line="0" w:lineRule="atLeast"/>
              <w:rPr>
                <w:rFonts w:ascii="宋体" w:hAnsi="宋体"/>
                <w:color w:val="000000"/>
                <w:kern w:val="0"/>
                <w:sz w:val="22"/>
                <w:szCs w:val="22"/>
              </w:rPr>
            </w:pPr>
            <w:r>
              <w:rPr>
                <w:rFonts w:hint="eastAsia" w:ascii="宋体" w:hAnsi="宋体"/>
                <w:color w:val="000000"/>
                <w:kern w:val="0"/>
                <w:sz w:val="22"/>
                <w:szCs w:val="22"/>
              </w:rPr>
              <w:t>实际到位资金：一定时期（本年度或项目期）内落实到具体项目的资金。</w:t>
            </w:r>
          </w:p>
          <w:p w14:paraId="6D6CB238">
            <w:pPr>
              <w:widowControl/>
              <w:spacing w:line="0" w:lineRule="atLeast"/>
              <w:rPr>
                <w:rFonts w:ascii="宋体" w:hAnsi="宋体"/>
                <w:color w:val="000000"/>
                <w:kern w:val="0"/>
                <w:sz w:val="22"/>
                <w:szCs w:val="22"/>
              </w:rPr>
            </w:pPr>
            <w:r>
              <w:rPr>
                <w:rFonts w:hint="eastAsia" w:ascii="宋体" w:hAnsi="宋体"/>
                <w:color w:val="000000"/>
                <w:kern w:val="0"/>
                <w:sz w:val="22"/>
                <w:szCs w:val="22"/>
              </w:rPr>
              <w:t>预算资金：一定时期（本年度或项目期）内预算安排到具体项目的资金。</w:t>
            </w:r>
          </w:p>
        </w:tc>
      </w:tr>
      <w:tr w14:paraId="3662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61" w:type="dxa"/>
            <w:vMerge w:val="continue"/>
            <w:shd w:val="clear" w:color="auto" w:fill="auto"/>
            <w:vAlign w:val="center"/>
          </w:tcPr>
          <w:p w14:paraId="59329381">
            <w:pPr>
              <w:widowControl/>
              <w:jc w:val="left"/>
              <w:rPr>
                <w:rFonts w:ascii="宋体" w:hAnsi="宋体"/>
                <w:color w:val="000000"/>
                <w:kern w:val="0"/>
                <w:sz w:val="22"/>
                <w:szCs w:val="22"/>
              </w:rPr>
            </w:pPr>
          </w:p>
        </w:tc>
        <w:tc>
          <w:tcPr>
            <w:tcW w:w="812" w:type="dxa"/>
            <w:vMerge w:val="continue"/>
            <w:shd w:val="clear" w:color="auto" w:fill="auto"/>
            <w:vAlign w:val="center"/>
          </w:tcPr>
          <w:p w14:paraId="0065463C">
            <w:pPr>
              <w:widowControl/>
              <w:jc w:val="left"/>
              <w:rPr>
                <w:rFonts w:ascii="宋体" w:hAnsi="宋体"/>
                <w:color w:val="000000"/>
                <w:kern w:val="0"/>
                <w:sz w:val="22"/>
                <w:szCs w:val="22"/>
              </w:rPr>
            </w:pPr>
          </w:p>
        </w:tc>
        <w:tc>
          <w:tcPr>
            <w:tcW w:w="789" w:type="dxa"/>
            <w:shd w:val="clear" w:color="auto" w:fill="FFFFFF"/>
            <w:vAlign w:val="center"/>
          </w:tcPr>
          <w:p w14:paraId="67894CFD">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预算执行率</w:t>
            </w:r>
          </w:p>
        </w:tc>
        <w:tc>
          <w:tcPr>
            <w:tcW w:w="2599" w:type="dxa"/>
            <w:shd w:val="clear" w:color="auto" w:fill="FFFFFF"/>
            <w:vAlign w:val="center"/>
          </w:tcPr>
          <w:p w14:paraId="37E0606E">
            <w:pPr>
              <w:widowControl/>
              <w:spacing w:line="0" w:lineRule="atLeast"/>
              <w:rPr>
                <w:rFonts w:ascii="宋体" w:hAnsi="宋体"/>
                <w:color w:val="000000"/>
                <w:kern w:val="0"/>
                <w:sz w:val="22"/>
                <w:szCs w:val="22"/>
              </w:rPr>
            </w:pPr>
            <w:r>
              <w:rPr>
                <w:rFonts w:hint="eastAsia" w:ascii="宋体" w:hAnsi="宋体"/>
                <w:color w:val="000000"/>
                <w:kern w:val="0"/>
                <w:sz w:val="22"/>
                <w:szCs w:val="22"/>
              </w:rPr>
              <w:t>项目预算资金是否按照计划执行，用以反映或考核项目预算执行情况。</w:t>
            </w:r>
          </w:p>
        </w:tc>
        <w:tc>
          <w:tcPr>
            <w:tcW w:w="5368" w:type="dxa"/>
            <w:shd w:val="clear" w:color="auto" w:fill="FFFFFF"/>
            <w:vAlign w:val="center"/>
          </w:tcPr>
          <w:p w14:paraId="2133E94B">
            <w:pPr>
              <w:widowControl/>
              <w:spacing w:line="0" w:lineRule="atLeast"/>
              <w:rPr>
                <w:rFonts w:ascii="宋体" w:hAnsi="宋体"/>
                <w:color w:val="000000"/>
                <w:kern w:val="0"/>
                <w:sz w:val="22"/>
                <w:szCs w:val="22"/>
              </w:rPr>
            </w:pPr>
            <w:r>
              <w:rPr>
                <w:rFonts w:hint="eastAsia" w:ascii="宋体" w:hAnsi="宋体"/>
                <w:color w:val="000000"/>
                <w:kern w:val="0"/>
                <w:sz w:val="22"/>
                <w:szCs w:val="22"/>
              </w:rPr>
              <w:t>预算执行率=（实际支出资金/实际到位资金）×100%。</w:t>
            </w:r>
            <w:r>
              <w:rPr>
                <w:rFonts w:hint="eastAsia" w:ascii="宋体" w:hAnsi="宋体"/>
                <w:color w:val="000000"/>
                <w:kern w:val="0"/>
                <w:sz w:val="22"/>
                <w:szCs w:val="22"/>
              </w:rPr>
              <w:br w:type="textWrapping"/>
            </w:r>
            <w:r>
              <w:rPr>
                <w:rFonts w:hint="eastAsia" w:ascii="宋体" w:hAnsi="宋体"/>
                <w:color w:val="000000"/>
                <w:kern w:val="0"/>
                <w:sz w:val="22"/>
                <w:szCs w:val="22"/>
              </w:rPr>
              <w:t>实际支出资金：一定时期（本年度或项目期）内项目实际拨付的资金。</w:t>
            </w:r>
          </w:p>
        </w:tc>
      </w:tr>
      <w:tr w14:paraId="3F29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861" w:type="dxa"/>
            <w:vMerge w:val="restart"/>
            <w:shd w:val="clear" w:color="auto" w:fill="FFFFFF"/>
            <w:vAlign w:val="center"/>
          </w:tcPr>
          <w:p w14:paraId="170211CF">
            <w:pPr>
              <w:spacing w:line="0" w:lineRule="atLeast"/>
              <w:jc w:val="center"/>
              <w:rPr>
                <w:rFonts w:ascii="宋体" w:hAnsi="宋体"/>
                <w:color w:val="000000"/>
                <w:kern w:val="0"/>
                <w:sz w:val="22"/>
                <w:szCs w:val="22"/>
              </w:rPr>
            </w:pPr>
            <w:r>
              <w:rPr>
                <w:rFonts w:hint="eastAsia" w:ascii="宋体" w:hAnsi="宋体"/>
                <w:color w:val="000000"/>
                <w:kern w:val="0"/>
                <w:sz w:val="22"/>
                <w:szCs w:val="22"/>
              </w:rPr>
              <w:t>过程</w:t>
            </w:r>
          </w:p>
        </w:tc>
        <w:tc>
          <w:tcPr>
            <w:tcW w:w="812" w:type="dxa"/>
            <w:shd w:val="clear" w:color="auto" w:fill="FFFFFF"/>
            <w:vAlign w:val="center"/>
          </w:tcPr>
          <w:p w14:paraId="3590965B">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资金管理</w:t>
            </w:r>
          </w:p>
        </w:tc>
        <w:tc>
          <w:tcPr>
            <w:tcW w:w="789" w:type="dxa"/>
            <w:shd w:val="clear" w:color="auto" w:fill="FFFFFF"/>
            <w:vAlign w:val="center"/>
          </w:tcPr>
          <w:p w14:paraId="413D8B86">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资金使用</w:t>
            </w:r>
          </w:p>
          <w:p w14:paraId="74CB83A8">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合规性</w:t>
            </w:r>
          </w:p>
        </w:tc>
        <w:tc>
          <w:tcPr>
            <w:tcW w:w="2599" w:type="dxa"/>
            <w:shd w:val="clear" w:color="auto" w:fill="FFFFFF"/>
            <w:vAlign w:val="center"/>
          </w:tcPr>
          <w:p w14:paraId="0B841C74">
            <w:pPr>
              <w:widowControl/>
              <w:spacing w:line="0" w:lineRule="atLeast"/>
              <w:rPr>
                <w:rFonts w:ascii="宋体" w:hAnsi="宋体"/>
                <w:color w:val="000000"/>
                <w:kern w:val="0"/>
                <w:sz w:val="22"/>
                <w:szCs w:val="22"/>
              </w:rPr>
            </w:pPr>
            <w:r>
              <w:rPr>
                <w:rFonts w:hint="eastAsia" w:ascii="宋体" w:hAnsi="宋体"/>
                <w:color w:val="000000"/>
                <w:kern w:val="0"/>
                <w:sz w:val="22"/>
                <w:szCs w:val="22"/>
              </w:rPr>
              <w:t>项目资金使用是否符合相关的财务管理制度规定，用以反映和考核项目资金的规范运行情况。</w:t>
            </w:r>
          </w:p>
        </w:tc>
        <w:tc>
          <w:tcPr>
            <w:tcW w:w="5368" w:type="dxa"/>
            <w:shd w:val="clear" w:color="auto" w:fill="FFFFFF"/>
            <w:vAlign w:val="center"/>
          </w:tcPr>
          <w:p w14:paraId="5E721375">
            <w:pPr>
              <w:widowControl/>
              <w:spacing w:line="0" w:lineRule="atLeast"/>
              <w:rPr>
                <w:rFonts w:ascii="宋体" w:hAnsi="宋体"/>
                <w:color w:val="000000"/>
                <w:kern w:val="0"/>
                <w:sz w:val="22"/>
                <w:szCs w:val="22"/>
              </w:rPr>
            </w:pPr>
            <w:r>
              <w:rPr>
                <w:rFonts w:hint="eastAsia" w:ascii="宋体" w:hAnsi="宋体"/>
                <w:color w:val="000000"/>
                <w:kern w:val="0"/>
                <w:sz w:val="22"/>
                <w:szCs w:val="22"/>
              </w:rPr>
              <w:t>评价要点：</w:t>
            </w:r>
            <w:r>
              <w:rPr>
                <w:rFonts w:hint="eastAsia" w:ascii="宋体" w:hAnsi="宋体"/>
                <w:color w:val="000000"/>
                <w:kern w:val="0"/>
                <w:sz w:val="22"/>
                <w:szCs w:val="22"/>
              </w:rPr>
              <w:br w:type="textWrapping"/>
            </w:r>
            <w:r>
              <w:rPr>
                <w:rFonts w:hint="eastAsia" w:ascii="宋体" w:hAnsi="宋体"/>
                <w:color w:val="000000"/>
                <w:kern w:val="0"/>
                <w:sz w:val="22"/>
                <w:szCs w:val="22"/>
              </w:rPr>
              <w:t>①是否符合国家财经法规和财务管理制度以及有关专项资金管理办法的规定；</w:t>
            </w:r>
            <w:r>
              <w:rPr>
                <w:rFonts w:hint="eastAsia" w:ascii="宋体" w:hAnsi="宋体"/>
                <w:color w:val="000000"/>
                <w:kern w:val="0"/>
                <w:sz w:val="22"/>
                <w:szCs w:val="22"/>
              </w:rPr>
              <w:br w:type="textWrapping"/>
            </w:r>
            <w:r>
              <w:rPr>
                <w:rFonts w:hint="eastAsia" w:ascii="宋体" w:hAnsi="宋体"/>
                <w:color w:val="000000"/>
                <w:kern w:val="0"/>
                <w:sz w:val="22"/>
                <w:szCs w:val="22"/>
              </w:rPr>
              <w:t>②资金的拨付是否有完整的审批程序和手续；</w:t>
            </w:r>
            <w:r>
              <w:rPr>
                <w:rFonts w:hint="eastAsia" w:ascii="宋体" w:hAnsi="宋体"/>
                <w:color w:val="000000"/>
                <w:kern w:val="0"/>
                <w:sz w:val="22"/>
                <w:szCs w:val="22"/>
              </w:rPr>
              <w:br w:type="textWrapping"/>
            </w:r>
            <w:r>
              <w:rPr>
                <w:rFonts w:hint="eastAsia" w:ascii="宋体" w:hAnsi="宋体"/>
                <w:color w:val="000000"/>
                <w:kern w:val="0"/>
                <w:sz w:val="22"/>
                <w:szCs w:val="22"/>
              </w:rPr>
              <w:t>③是否符合项目预算批复或合同规定的用途；</w:t>
            </w:r>
            <w:r>
              <w:rPr>
                <w:rFonts w:hint="eastAsia" w:ascii="宋体" w:hAnsi="宋体"/>
                <w:color w:val="000000"/>
                <w:kern w:val="0"/>
                <w:sz w:val="22"/>
                <w:szCs w:val="22"/>
              </w:rPr>
              <w:br w:type="textWrapping"/>
            </w:r>
            <w:r>
              <w:rPr>
                <w:rFonts w:hint="eastAsia" w:ascii="宋体" w:hAnsi="宋体"/>
                <w:color w:val="000000"/>
                <w:kern w:val="0"/>
                <w:sz w:val="22"/>
                <w:szCs w:val="22"/>
              </w:rPr>
              <w:t>④是否存在截留、挤占、挪用、虚列支出等情况。</w:t>
            </w:r>
          </w:p>
        </w:tc>
      </w:tr>
      <w:tr w14:paraId="33E1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vMerge w:val="continue"/>
            <w:shd w:val="clear" w:color="auto" w:fill="auto"/>
            <w:vAlign w:val="center"/>
          </w:tcPr>
          <w:p w14:paraId="70ABBCDC">
            <w:pPr>
              <w:widowControl/>
              <w:jc w:val="left"/>
              <w:rPr>
                <w:rFonts w:ascii="宋体" w:hAnsi="宋体"/>
                <w:color w:val="000000"/>
                <w:kern w:val="0"/>
                <w:sz w:val="22"/>
                <w:szCs w:val="22"/>
              </w:rPr>
            </w:pPr>
          </w:p>
        </w:tc>
        <w:tc>
          <w:tcPr>
            <w:tcW w:w="812" w:type="dxa"/>
            <w:vMerge w:val="restart"/>
            <w:shd w:val="clear" w:color="auto" w:fill="FFFFFF"/>
            <w:vAlign w:val="center"/>
          </w:tcPr>
          <w:p w14:paraId="6B1C2A31">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组织实施</w:t>
            </w:r>
          </w:p>
        </w:tc>
        <w:tc>
          <w:tcPr>
            <w:tcW w:w="789" w:type="dxa"/>
            <w:shd w:val="clear" w:color="auto" w:fill="FFFFFF"/>
            <w:vAlign w:val="center"/>
          </w:tcPr>
          <w:p w14:paraId="7387FD16">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管理制度</w:t>
            </w:r>
          </w:p>
          <w:p w14:paraId="535F5181">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健全性</w:t>
            </w:r>
          </w:p>
        </w:tc>
        <w:tc>
          <w:tcPr>
            <w:tcW w:w="2599" w:type="dxa"/>
            <w:shd w:val="clear" w:color="auto" w:fill="FFFFFF"/>
            <w:vAlign w:val="center"/>
          </w:tcPr>
          <w:p w14:paraId="4CB31F88">
            <w:pPr>
              <w:widowControl/>
              <w:spacing w:line="0" w:lineRule="atLeast"/>
              <w:rPr>
                <w:rFonts w:ascii="宋体" w:hAnsi="宋体"/>
                <w:color w:val="000000"/>
                <w:kern w:val="0"/>
                <w:sz w:val="22"/>
                <w:szCs w:val="22"/>
              </w:rPr>
            </w:pPr>
            <w:r>
              <w:rPr>
                <w:rFonts w:hint="eastAsia" w:ascii="宋体" w:hAnsi="宋体"/>
                <w:color w:val="000000"/>
                <w:kern w:val="0"/>
                <w:sz w:val="22"/>
                <w:szCs w:val="22"/>
              </w:rPr>
              <w:t>项目实施单位的财务和业务管理制度是否健全，用以反映和考核财务和业务管理制度对项目顺利实施的保障情况。</w:t>
            </w:r>
          </w:p>
        </w:tc>
        <w:tc>
          <w:tcPr>
            <w:tcW w:w="5368" w:type="dxa"/>
            <w:shd w:val="clear" w:color="auto" w:fill="FFFFFF"/>
            <w:vAlign w:val="center"/>
          </w:tcPr>
          <w:p w14:paraId="701BCAE4">
            <w:pPr>
              <w:widowControl/>
              <w:spacing w:line="0" w:lineRule="atLeast"/>
              <w:rPr>
                <w:rFonts w:ascii="宋体" w:hAnsi="宋体"/>
                <w:color w:val="000000"/>
                <w:kern w:val="0"/>
                <w:sz w:val="22"/>
                <w:szCs w:val="22"/>
              </w:rPr>
            </w:pPr>
            <w:r>
              <w:rPr>
                <w:rFonts w:hint="eastAsia" w:ascii="宋体" w:hAnsi="宋体"/>
                <w:color w:val="000000"/>
                <w:kern w:val="0"/>
                <w:sz w:val="22"/>
                <w:szCs w:val="22"/>
              </w:rPr>
              <w:t>评价要点：</w:t>
            </w:r>
            <w:r>
              <w:rPr>
                <w:rFonts w:hint="eastAsia" w:ascii="宋体" w:hAnsi="宋体"/>
                <w:color w:val="000000"/>
                <w:kern w:val="0"/>
                <w:sz w:val="22"/>
                <w:szCs w:val="22"/>
              </w:rPr>
              <w:br w:type="textWrapping"/>
            </w:r>
            <w:r>
              <w:rPr>
                <w:rFonts w:hint="eastAsia" w:ascii="宋体" w:hAnsi="宋体"/>
                <w:color w:val="000000"/>
                <w:kern w:val="0"/>
                <w:sz w:val="22"/>
                <w:szCs w:val="22"/>
              </w:rPr>
              <w:t>①是否已制定或具有相应的财务和业务管理制度；</w:t>
            </w:r>
            <w:r>
              <w:rPr>
                <w:rFonts w:hint="eastAsia" w:ascii="宋体" w:hAnsi="宋体"/>
                <w:color w:val="000000"/>
                <w:kern w:val="0"/>
                <w:sz w:val="22"/>
                <w:szCs w:val="22"/>
              </w:rPr>
              <w:br w:type="textWrapping"/>
            </w:r>
            <w:r>
              <w:rPr>
                <w:rFonts w:hint="eastAsia" w:ascii="宋体" w:hAnsi="宋体"/>
                <w:color w:val="000000"/>
                <w:kern w:val="0"/>
                <w:sz w:val="22"/>
                <w:szCs w:val="22"/>
              </w:rPr>
              <w:t>②财务和业务管理制度是否合法、合规、完整。</w:t>
            </w:r>
          </w:p>
        </w:tc>
      </w:tr>
      <w:tr w14:paraId="262A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1" w:type="dxa"/>
            <w:vMerge w:val="continue"/>
            <w:shd w:val="clear" w:color="auto" w:fill="auto"/>
            <w:vAlign w:val="center"/>
          </w:tcPr>
          <w:p w14:paraId="2AFD4D51">
            <w:pPr>
              <w:widowControl/>
              <w:jc w:val="left"/>
              <w:rPr>
                <w:rFonts w:ascii="宋体" w:hAnsi="宋体"/>
                <w:color w:val="000000"/>
                <w:kern w:val="0"/>
                <w:sz w:val="22"/>
                <w:szCs w:val="22"/>
              </w:rPr>
            </w:pPr>
          </w:p>
        </w:tc>
        <w:tc>
          <w:tcPr>
            <w:tcW w:w="812" w:type="dxa"/>
            <w:vMerge w:val="continue"/>
            <w:shd w:val="clear" w:color="auto" w:fill="auto"/>
            <w:vAlign w:val="center"/>
          </w:tcPr>
          <w:p w14:paraId="16E90501">
            <w:pPr>
              <w:widowControl/>
              <w:jc w:val="left"/>
              <w:rPr>
                <w:rFonts w:ascii="宋体" w:hAnsi="宋体"/>
                <w:color w:val="000000"/>
                <w:kern w:val="0"/>
                <w:sz w:val="22"/>
                <w:szCs w:val="22"/>
              </w:rPr>
            </w:pPr>
          </w:p>
        </w:tc>
        <w:tc>
          <w:tcPr>
            <w:tcW w:w="789" w:type="dxa"/>
            <w:shd w:val="clear" w:color="auto" w:fill="FFFFFF"/>
            <w:vAlign w:val="center"/>
          </w:tcPr>
          <w:p w14:paraId="20DF9C8D">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制度执行</w:t>
            </w:r>
          </w:p>
          <w:p w14:paraId="485418EC">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有效性</w:t>
            </w:r>
          </w:p>
        </w:tc>
        <w:tc>
          <w:tcPr>
            <w:tcW w:w="2599" w:type="dxa"/>
            <w:shd w:val="clear" w:color="auto" w:fill="FFFFFF"/>
            <w:vAlign w:val="center"/>
          </w:tcPr>
          <w:p w14:paraId="1B24916A">
            <w:pPr>
              <w:widowControl/>
              <w:spacing w:line="0" w:lineRule="atLeast"/>
              <w:rPr>
                <w:rFonts w:ascii="宋体" w:hAnsi="宋体"/>
                <w:color w:val="000000"/>
                <w:kern w:val="0"/>
                <w:sz w:val="22"/>
                <w:szCs w:val="22"/>
              </w:rPr>
            </w:pPr>
            <w:r>
              <w:rPr>
                <w:rFonts w:hint="eastAsia" w:ascii="宋体" w:hAnsi="宋体"/>
                <w:color w:val="000000"/>
                <w:kern w:val="0"/>
                <w:sz w:val="22"/>
                <w:szCs w:val="22"/>
              </w:rPr>
              <w:t>项目实施是否符合相关管理规定，用以反映和考核相关管理制度的有效执行情况。</w:t>
            </w:r>
          </w:p>
        </w:tc>
        <w:tc>
          <w:tcPr>
            <w:tcW w:w="5368" w:type="dxa"/>
            <w:shd w:val="clear" w:color="auto" w:fill="FFFFFF"/>
            <w:vAlign w:val="center"/>
          </w:tcPr>
          <w:p w14:paraId="68AF941F">
            <w:pPr>
              <w:widowControl/>
              <w:spacing w:line="0" w:lineRule="atLeast"/>
              <w:rPr>
                <w:rFonts w:ascii="宋体" w:hAnsi="宋体"/>
                <w:color w:val="000000"/>
                <w:kern w:val="0"/>
                <w:sz w:val="22"/>
                <w:szCs w:val="22"/>
              </w:rPr>
            </w:pPr>
            <w:r>
              <w:rPr>
                <w:rFonts w:hint="eastAsia" w:ascii="宋体" w:hAnsi="宋体"/>
                <w:color w:val="000000"/>
                <w:kern w:val="0"/>
                <w:sz w:val="22"/>
                <w:szCs w:val="22"/>
              </w:rPr>
              <w:t>评价要点：</w:t>
            </w:r>
            <w:r>
              <w:rPr>
                <w:rFonts w:hint="eastAsia" w:ascii="宋体" w:hAnsi="宋体"/>
                <w:color w:val="000000"/>
                <w:kern w:val="0"/>
                <w:sz w:val="22"/>
                <w:szCs w:val="22"/>
              </w:rPr>
              <w:br w:type="textWrapping"/>
            </w:r>
            <w:r>
              <w:rPr>
                <w:rFonts w:hint="eastAsia" w:ascii="宋体" w:hAnsi="宋体"/>
                <w:color w:val="000000"/>
                <w:kern w:val="0"/>
                <w:sz w:val="22"/>
                <w:szCs w:val="22"/>
              </w:rPr>
              <w:t>①是否遵守相关法律法规和相关管理规定；</w:t>
            </w:r>
            <w:r>
              <w:rPr>
                <w:rFonts w:hint="eastAsia" w:ascii="宋体" w:hAnsi="宋体"/>
                <w:color w:val="000000"/>
                <w:kern w:val="0"/>
                <w:sz w:val="22"/>
                <w:szCs w:val="22"/>
              </w:rPr>
              <w:br w:type="textWrapping"/>
            </w:r>
            <w:r>
              <w:rPr>
                <w:rFonts w:hint="eastAsia" w:ascii="宋体" w:hAnsi="宋体"/>
                <w:color w:val="000000"/>
                <w:kern w:val="0"/>
                <w:sz w:val="22"/>
                <w:szCs w:val="22"/>
              </w:rPr>
              <w:t>②项目调整及支出调整手续是否完备；</w:t>
            </w:r>
            <w:r>
              <w:rPr>
                <w:rFonts w:hint="eastAsia" w:ascii="宋体" w:hAnsi="宋体"/>
                <w:color w:val="000000"/>
                <w:kern w:val="0"/>
                <w:sz w:val="22"/>
                <w:szCs w:val="22"/>
              </w:rPr>
              <w:br w:type="textWrapping"/>
            </w:r>
            <w:r>
              <w:rPr>
                <w:rFonts w:hint="eastAsia" w:ascii="宋体" w:hAnsi="宋体"/>
                <w:color w:val="000000"/>
                <w:kern w:val="0"/>
                <w:sz w:val="22"/>
                <w:szCs w:val="22"/>
              </w:rPr>
              <w:t>③项目合同书、验收报告、技术鉴定等资料是否齐全并及时归档；</w:t>
            </w:r>
            <w:r>
              <w:rPr>
                <w:rFonts w:hint="eastAsia" w:ascii="宋体" w:hAnsi="宋体"/>
                <w:color w:val="000000"/>
                <w:kern w:val="0"/>
                <w:sz w:val="22"/>
                <w:szCs w:val="22"/>
              </w:rPr>
              <w:br w:type="textWrapping"/>
            </w:r>
            <w:r>
              <w:rPr>
                <w:rFonts w:hint="eastAsia" w:ascii="宋体" w:hAnsi="宋体"/>
                <w:color w:val="000000"/>
                <w:kern w:val="0"/>
                <w:sz w:val="22"/>
                <w:szCs w:val="22"/>
              </w:rPr>
              <w:t>④项目实施的人员条件、场地设备、信息支撑等是否落实到位。</w:t>
            </w:r>
          </w:p>
        </w:tc>
      </w:tr>
      <w:tr w14:paraId="1220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861" w:type="dxa"/>
            <w:shd w:val="clear" w:color="auto" w:fill="FFFFFF"/>
            <w:vAlign w:val="center"/>
          </w:tcPr>
          <w:p w14:paraId="080D1531">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产出</w:t>
            </w:r>
          </w:p>
        </w:tc>
        <w:tc>
          <w:tcPr>
            <w:tcW w:w="812" w:type="dxa"/>
            <w:shd w:val="clear" w:color="auto" w:fill="FFFFFF"/>
            <w:vAlign w:val="center"/>
          </w:tcPr>
          <w:p w14:paraId="1F4537B5">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产出数量</w:t>
            </w:r>
          </w:p>
        </w:tc>
        <w:tc>
          <w:tcPr>
            <w:tcW w:w="789" w:type="dxa"/>
            <w:shd w:val="clear" w:color="auto" w:fill="FFFFFF"/>
            <w:vAlign w:val="center"/>
          </w:tcPr>
          <w:p w14:paraId="4E94CE21">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实际完成率</w:t>
            </w:r>
          </w:p>
        </w:tc>
        <w:tc>
          <w:tcPr>
            <w:tcW w:w="2599" w:type="dxa"/>
            <w:shd w:val="clear" w:color="auto" w:fill="FFFFFF"/>
            <w:vAlign w:val="center"/>
          </w:tcPr>
          <w:p w14:paraId="0D858060">
            <w:pPr>
              <w:widowControl/>
              <w:spacing w:line="0" w:lineRule="atLeast"/>
              <w:rPr>
                <w:rFonts w:ascii="宋体" w:hAnsi="宋体"/>
                <w:color w:val="000000"/>
                <w:kern w:val="0"/>
                <w:sz w:val="22"/>
                <w:szCs w:val="22"/>
              </w:rPr>
            </w:pPr>
            <w:r>
              <w:rPr>
                <w:rFonts w:hint="eastAsia" w:ascii="宋体" w:hAnsi="宋体"/>
                <w:color w:val="000000"/>
                <w:kern w:val="0"/>
                <w:sz w:val="22"/>
                <w:szCs w:val="22"/>
              </w:rPr>
              <w:t>项目实施的实际产出数与计划产出数的比率，用以反映和考核项目产出数量目标的实现程度。</w:t>
            </w:r>
          </w:p>
        </w:tc>
        <w:tc>
          <w:tcPr>
            <w:tcW w:w="5368" w:type="dxa"/>
            <w:shd w:val="clear" w:color="auto" w:fill="FFFFFF"/>
            <w:vAlign w:val="center"/>
          </w:tcPr>
          <w:p w14:paraId="5C3989A7">
            <w:pPr>
              <w:widowControl/>
              <w:spacing w:line="0" w:lineRule="atLeast"/>
              <w:rPr>
                <w:rFonts w:ascii="宋体" w:hAnsi="宋体"/>
                <w:color w:val="000000"/>
                <w:kern w:val="0"/>
                <w:sz w:val="22"/>
                <w:szCs w:val="22"/>
              </w:rPr>
            </w:pPr>
            <w:r>
              <w:rPr>
                <w:rFonts w:hint="eastAsia" w:ascii="宋体" w:hAnsi="宋体"/>
                <w:color w:val="000000"/>
                <w:kern w:val="0"/>
                <w:sz w:val="22"/>
                <w:szCs w:val="22"/>
              </w:rPr>
              <w:t>实际完成率=（实际产出数/计划产出数）×100%。</w:t>
            </w:r>
            <w:r>
              <w:rPr>
                <w:rFonts w:hint="eastAsia" w:ascii="宋体" w:hAnsi="宋体"/>
                <w:color w:val="000000"/>
                <w:kern w:val="0"/>
                <w:sz w:val="22"/>
                <w:szCs w:val="22"/>
              </w:rPr>
              <w:br w:type="textWrapping"/>
            </w:r>
            <w:r>
              <w:rPr>
                <w:rFonts w:hint="eastAsia" w:ascii="宋体" w:hAnsi="宋体"/>
                <w:color w:val="000000"/>
                <w:kern w:val="0"/>
                <w:sz w:val="22"/>
                <w:szCs w:val="22"/>
              </w:rPr>
              <w:t>实际产出数：一定时期（本年度或项目期）内项目实际产出的产品或提供的服务数量。</w:t>
            </w:r>
            <w:r>
              <w:rPr>
                <w:rFonts w:hint="eastAsia" w:ascii="宋体" w:hAnsi="宋体"/>
                <w:color w:val="000000"/>
                <w:kern w:val="0"/>
                <w:sz w:val="22"/>
                <w:szCs w:val="22"/>
              </w:rPr>
              <w:br w:type="textWrapping"/>
            </w:r>
            <w:r>
              <w:rPr>
                <w:rFonts w:hint="eastAsia" w:ascii="宋体" w:hAnsi="宋体"/>
                <w:color w:val="000000"/>
                <w:kern w:val="0"/>
                <w:sz w:val="22"/>
                <w:szCs w:val="22"/>
              </w:rPr>
              <w:t>计划产出数：项目绩效目标确定的在一定时期（本年度或项目期）内计划产出的产品或提供的服务数量。</w:t>
            </w:r>
          </w:p>
        </w:tc>
      </w:tr>
      <w:tr w14:paraId="134A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861" w:type="dxa"/>
            <w:vMerge w:val="restart"/>
            <w:shd w:val="clear" w:color="auto" w:fill="FFFFFF"/>
            <w:vAlign w:val="center"/>
          </w:tcPr>
          <w:p w14:paraId="7137CEE9">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产出</w:t>
            </w:r>
          </w:p>
        </w:tc>
        <w:tc>
          <w:tcPr>
            <w:tcW w:w="812" w:type="dxa"/>
            <w:shd w:val="clear" w:color="auto" w:fill="FFFFFF"/>
            <w:vAlign w:val="center"/>
          </w:tcPr>
          <w:p w14:paraId="02505A77">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产出质量</w:t>
            </w:r>
          </w:p>
        </w:tc>
        <w:tc>
          <w:tcPr>
            <w:tcW w:w="789" w:type="dxa"/>
            <w:shd w:val="clear" w:color="auto" w:fill="FFFFFF"/>
            <w:vAlign w:val="center"/>
          </w:tcPr>
          <w:p w14:paraId="70044F90">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质量达标率</w:t>
            </w:r>
          </w:p>
        </w:tc>
        <w:tc>
          <w:tcPr>
            <w:tcW w:w="2599" w:type="dxa"/>
            <w:shd w:val="clear" w:color="auto" w:fill="FFFFFF"/>
            <w:vAlign w:val="center"/>
          </w:tcPr>
          <w:p w14:paraId="2F62D41B">
            <w:pPr>
              <w:widowControl/>
              <w:spacing w:line="0" w:lineRule="atLeast"/>
              <w:rPr>
                <w:rFonts w:ascii="宋体" w:hAnsi="宋体"/>
                <w:color w:val="000000"/>
                <w:kern w:val="0"/>
                <w:sz w:val="22"/>
                <w:szCs w:val="22"/>
              </w:rPr>
            </w:pPr>
            <w:r>
              <w:rPr>
                <w:rFonts w:hint="eastAsia" w:ascii="宋体" w:hAnsi="宋体"/>
                <w:color w:val="000000"/>
                <w:kern w:val="0"/>
                <w:sz w:val="22"/>
                <w:szCs w:val="22"/>
              </w:rPr>
              <w:t>项目完成的质量达标产出数与实际产出数的比率，用以反映和考核项目产出质量目标的实现程度。</w:t>
            </w:r>
          </w:p>
        </w:tc>
        <w:tc>
          <w:tcPr>
            <w:tcW w:w="5368" w:type="dxa"/>
            <w:shd w:val="clear" w:color="auto" w:fill="FFFFFF"/>
            <w:vAlign w:val="center"/>
          </w:tcPr>
          <w:p w14:paraId="3C88F036">
            <w:pPr>
              <w:widowControl/>
              <w:spacing w:line="0" w:lineRule="atLeast"/>
              <w:rPr>
                <w:rFonts w:ascii="宋体" w:hAnsi="宋体"/>
                <w:color w:val="000000"/>
                <w:kern w:val="0"/>
                <w:sz w:val="22"/>
                <w:szCs w:val="22"/>
              </w:rPr>
            </w:pPr>
            <w:r>
              <w:rPr>
                <w:rFonts w:hint="eastAsia" w:ascii="宋体" w:hAnsi="宋体"/>
                <w:color w:val="000000"/>
                <w:kern w:val="0"/>
                <w:sz w:val="22"/>
                <w:szCs w:val="22"/>
              </w:rPr>
              <w:t>质量达标率=（质量达标产出数/实际产出数）×100%。</w:t>
            </w:r>
          </w:p>
          <w:p w14:paraId="769ED371">
            <w:pPr>
              <w:widowControl/>
              <w:spacing w:line="0" w:lineRule="atLeast"/>
              <w:rPr>
                <w:rFonts w:ascii="宋体" w:hAnsi="宋体"/>
                <w:color w:val="000000"/>
                <w:kern w:val="0"/>
                <w:sz w:val="22"/>
                <w:szCs w:val="22"/>
              </w:rPr>
            </w:pPr>
            <w:r>
              <w:rPr>
                <w:rFonts w:hint="eastAsia" w:ascii="宋体" w:hAnsi="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2A2F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861" w:type="dxa"/>
            <w:vMerge w:val="continue"/>
            <w:shd w:val="clear" w:color="auto" w:fill="auto"/>
            <w:vAlign w:val="center"/>
          </w:tcPr>
          <w:p w14:paraId="1CDFB5E5">
            <w:pPr>
              <w:widowControl/>
              <w:jc w:val="left"/>
              <w:rPr>
                <w:rFonts w:ascii="宋体" w:hAnsi="宋体"/>
                <w:color w:val="000000"/>
                <w:kern w:val="0"/>
                <w:sz w:val="22"/>
                <w:szCs w:val="22"/>
              </w:rPr>
            </w:pPr>
          </w:p>
        </w:tc>
        <w:tc>
          <w:tcPr>
            <w:tcW w:w="812" w:type="dxa"/>
            <w:shd w:val="clear" w:color="auto" w:fill="FFFFFF"/>
            <w:vAlign w:val="center"/>
          </w:tcPr>
          <w:p w14:paraId="18AD8032">
            <w:pPr>
              <w:spacing w:line="0" w:lineRule="atLeast"/>
              <w:jc w:val="center"/>
              <w:rPr>
                <w:rFonts w:ascii="宋体" w:hAnsi="宋体"/>
                <w:color w:val="000000"/>
                <w:kern w:val="0"/>
                <w:sz w:val="22"/>
                <w:szCs w:val="22"/>
              </w:rPr>
            </w:pPr>
            <w:r>
              <w:rPr>
                <w:rFonts w:hint="eastAsia" w:ascii="宋体" w:hAnsi="宋体"/>
                <w:color w:val="000000"/>
                <w:kern w:val="0"/>
                <w:sz w:val="22"/>
                <w:szCs w:val="22"/>
              </w:rPr>
              <w:t>产出时效</w:t>
            </w:r>
          </w:p>
        </w:tc>
        <w:tc>
          <w:tcPr>
            <w:tcW w:w="789" w:type="dxa"/>
            <w:shd w:val="clear" w:color="auto" w:fill="FFFFFF"/>
            <w:vAlign w:val="center"/>
          </w:tcPr>
          <w:p w14:paraId="213EDF06">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完成及时性</w:t>
            </w:r>
          </w:p>
        </w:tc>
        <w:tc>
          <w:tcPr>
            <w:tcW w:w="2599" w:type="dxa"/>
            <w:shd w:val="clear" w:color="auto" w:fill="FFFFFF"/>
            <w:vAlign w:val="center"/>
          </w:tcPr>
          <w:p w14:paraId="17FBF84D">
            <w:pPr>
              <w:widowControl/>
              <w:spacing w:line="0" w:lineRule="atLeast"/>
              <w:rPr>
                <w:rFonts w:ascii="宋体" w:hAnsi="宋体"/>
                <w:color w:val="000000"/>
                <w:kern w:val="0"/>
                <w:sz w:val="22"/>
                <w:szCs w:val="22"/>
              </w:rPr>
            </w:pPr>
            <w:r>
              <w:rPr>
                <w:rFonts w:hint="eastAsia" w:ascii="宋体" w:hAnsi="宋体"/>
                <w:color w:val="000000"/>
                <w:kern w:val="0"/>
                <w:sz w:val="22"/>
                <w:szCs w:val="22"/>
              </w:rPr>
              <w:t>项目实际完成时间与计划完成时间的比较，用以反映和考核项目产出时效目标的实现程度。</w:t>
            </w:r>
          </w:p>
        </w:tc>
        <w:tc>
          <w:tcPr>
            <w:tcW w:w="5368" w:type="dxa"/>
            <w:shd w:val="clear" w:color="auto" w:fill="FFFFFF"/>
            <w:vAlign w:val="center"/>
          </w:tcPr>
          <w:p w14:paraId="7568CA97">
            <w:pPr>
              <w:widowControl/>
              <w:spacing w:line="0" w:lineRule="atLeast"/>
              <w:rPr>
                <w:rFonts w:ascii="宋体" w:hAnsi="宋体"/>
                <w:color w:val="000000"/>
                <w:kern w:val="0"/>
                <w:sz w:val="22"/>
                <w:szCs w:val="22"/>
              </w:rPr>
            </w:pPr>
            <w:r>
              <w:rPr>
                <w:rFonts w:hint="eastAsia" w:ascii="宋体" w:hAnsi="宋体"/>
                <w:color w:val="000000"/>
                <w:kern w:val="0"/>
                <w:sz w:val="22"/>
                <w:szCs w:val="22"/>
              </w:rPr>
              <w:t>实际完成时间：项目实施单位完成该项目实际所耗用的时间。</w:t>
            </w:r>
            <w:r>
              <w:rPr>
                <w:rFonts w:hint="eastAsia" w:ascii="宋体" w:hAnsi="宋体"/>
                <w:color w:val="000000"/>
                <w:kern w:val="0"/>
                <w:sz w:val="22"/>
                <w:szCs w:val="22"/>
              </w:rPr>
              <w:br w:type="textWrapping"/>
            </w:r>
            <w:r>
              <w:rPr>
                <w:rFonts w:hint="eastAsia" w:ascii="宋体" w:hAnsi="宋体"/>
                <w:color w:val="000000"/>
                <w:kern w:val="0"/>
                <w:sz w:val="22"/>
                <w:szCs w:val="22"/>
              </w:rPr>
              <w:t>计划完成时间：按照项目实施计划或相关规定完成该项目所需的时间。</w:t>
            </w:r>
          </w:p>
        </w:tc>
      </w:tr>
      <w:tr w14:paraId="0F03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861" w:type="dxa"/>
            <w:vMerge w:val="continue"/>
            <w:shd w:val="clear" w:color="auto" w:fill="auto"/>
            <w:vAlign w:val="center"/>
          </w:tcPr>
          <w:p w14:paraId="1D0DBFA1">
            <w:pPr>
              <w:widowControl/>
              <w:jc w:val="left"/>
              <w:rPr>
                <w:rFonts w:ascii="宋体" w:hAnsi="宋体"/>
                <w:color w:val="000000"/>
                <w:kern w:val="0"/>
                <w:sz w:val="22"/>
                <w:szCs w:val="22"/>
              </w:rPr>
            </w:pPr>
          </w:p>
        </w:tc>
        <w:tc>
          <w:tcPr>
            <w:tcW w:w="812" w:type="dxa"/>
            <w:shd w:val="clear" w:color="auto" w:fill="FFFFFF"/>
            <w:vAlign w:val="center"/>
          </w:tcPr>
          <w:p w14:paraId="5FCFC9E4">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产出成本</w:t>
            </w:r>
          </w:p>
        </w:tc>
        <w:tc>
          <w:tcPr>
            <w:tcW w:w="789" w:type="dxa"/>
            <w:shd w:val="clear" w:color="auto" w:fill="FFFFFF"/>
            <w:vAlign w:val="center"/>
          </w:tcPr>
          <w:p w14:paraId="3ECB8D48">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成本节约率</w:t>
            </w:r>
          </w:p>
        </w:tc>
        <w:tc>
          <w:tcPr>
            <w:tcW w:w="2599" w:type="dxa"/>
            <w:shd w:val="clear" w:color="auto" w:fill="FFFFFF"/>
            <w:vAlign w:val="center"/>
          </w:tcPr>
          <w:p w14:paraId="44AE2CD7">
            <w:pPr>
              <w:widowControl/>
              <w:spacing w:line="0" w:lineRule="atLeast"/>
              <w:rPr>
                <w:rFonts w:ascii="宋体" w:hAnsi="宋体"/>
                <w:color w:val="000000"/>
                <w:kern w:val="0"/>
                <w:sz w:val="22"/>
                <w:szCs w:val="22"/>
              </w:rPr>
            </w:pPr>
            <w:r>
              <w:rPr>
                <w:rFonts w:hint="eastAsia" w:ascii="宋体" w:hAnsi="宋体"/>
                <w:color w:val="000000"/>
                <w:kern w:val="0"/>
                <w:sz w:val="22"/>
                <w:szCs w:val="22"/>
              </w:rPr>
              <w:t>完成项目计划工作目标的实际节约成本与计划成本的比率，用以反映和考核项目的成本节约程度。</w:t>
            </w:r>
          </w:p>
        </w:tc>
        <w:tc>
          <w:tcPr>
            <w:tcW w:w="5368" w:type="dxa"/>
            <w:shd w:val="clear" w:color="auto" w:fill="FFFFFF"/>
            <w:vAlign w:val="center"/>
          </w:tcPr>
          <w:p w14:paraId="5D9F6E06">
            <w:pPr>
              <w:widowControl/>
              <w:spacing w:line="0" w:lineRule="atLeast"/>
              <w:rPr>
                <w:rFonts w:ascii="宋体" w:hAnsi="宋体"/>
                <w:color w:val="000000"/>
                <w:kern w:val="0"/>
                <w:sz w:val="22"/>
                <w:szCs w:val="22"/>
              </w:rPr>
            </w:pPr>
            <w:r>
              <w:rPr>
                <w:rFonts w:hint="eastAsia" w:ascii="宋体" w:hAnsi="宋体"/>
                <w:color w:val="000000"/>
                <w:kern w:val="0"/>
                <w:sz w:val="22"/>
                <w:szCs w:val="22"/>
              </w:rPr>
              <w:br w:type="textWrapping"/>
            </w:r>
            <w:r>
              <w:rPr>
                <w:rFonts w:hint="eastAsia" w:ascii="宋体" w:hAnsi="宋体"/>
                <w:color w:val="000000"/>
                <w:kern w:val="0"/>
                <w:sz w:val="22"/>
                <w:szCs w:val="22"/>
              </w:rPr>
              <w:t>成本节约率=[（计划成本-实际成本）/计划成本]×100%。</w:t>
            </w:r>
            <w:r>
              <w:rPr>
                <w:rFonts w:hint="eastAsia" w:ascii="宋体" w:hAnsi="宋体"/>
                <w:color w:val="000000"/>
                <w:kern w:val="0"/>
                <w:sz w:val="22"/>
                <w:szCs w:val="22"/>
              </w:rPr>
              <w:br w:type="textWrapping"/>
            </w:r>
            <w:r>
              <w:rPr>
                <w:rFonts w:hint="eastAsia" w:ascii="宋体" w:hAnsi="宋体"/>
                <w:color w:val="000000"/>
                <w:kern w:val="0"/>
                <w:sz w:val="22"/>
                <w:szCs w:val="22"/>
              </w:rPr>
              <w:t>实际成本：项目实施单位如期、保质、保量完成既定工作目标实际所耗费的支出。</w:t>
            </w:r>
            <w:r>
              <w:rPr>
                <w:rFonts w:hint="eastAsia" w:ascii="宋体" w:hAnsi="宋体"/>
                <w:color w:val="000000"/>
                <w:kern w:val="0"/>
                <w:sz w:val="22"/>
                <w:szCs w:val="22"/>
              </w:rPr>
              <w:br w:type="textWrapping"/>
            </w:r>
            <w:r>
              <w:rPr>
                <w:rFonts w:hint="eastAsia" w:ascii="宋体" w:hAnsi="宋体"/>
                <w:color w:val="000000"/>
                <w:kern w:val="0"/>
                <w:sz w:val="22"/>
                <w:szCs w:val="22"/>
              </w:rPr>
              <w:t>计划成本：项目实施单位为完成工作目标计划安排的支出，一般以项目预算为参考。</w:t>
            </w:r>
          </w:p>
        </w:tc>
      </w:tr>
      <w:tr w14:paraId="5FB4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61" w:type="dxa"/>
            <w:vMerge w:val="restart"/>
            <w:shd w:val="clear" w:color="auto" w:fill="FFFFFF"/>
            <w:vAlign w:val="center"/>
          </w:tcPr>
          <w:p w14:paraId="310DBF39">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效益</w:t>
            </w:r>
          </w:p>
        </w:tc>
        <w:tc>
          <w:tcPr>
            <w:tcW w:w="812" w:type="dxa"/>
            <w:vMerge w:val="restart"/>
            <w:shd w:val="clear" w:color="auto" w:fill="FFFFFF"/>
            <w:vAlign w:val="center"/>
          </w:tcPr>
          <w:p w14:paraId="51DFE423">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项目效益</w:t>
            </w:r>
          </w:p>
        </w:tc>
        <w:tc>
          <w:tcPr>
            <w:tcW w:w="789" w:type="dxa"/>
            <w:shd w:val="clear" w:color="auto" w:fill="FFFFFF"/>
            <w:vAlign w:val="center"/>
          </w:tcPr>
          <w:p w14:paraId="756BD296">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实施效益</w:t>
            </w:r>
          </w:p>
        </w:tc>
        <w:tc>
          <w:tcPr>
            <w:tcW w:w="2599" w:type="dxa"/>
            <w:shd w:val="clear" w:color="auto" w:fill="FFFFFF"/>
            <w:vAlign w:val="center"/>
          </w:tcPr>
          <w:p w14:paraId="00F54945">
            <w:pPr>
              <w:widowControl/>
              <w:spacing w:line="0" w:lineRule="atLeast"/>
              <w:jc w:val="left"/>
              <w:rPr>
                <w:rFonts w:ascii="宋体" w:hAnsi="宋体"/>
                <w:color w:val="000000"/>
                <w:kern w:val="0"/>
                <w:sz w:val="22"/>
                <w:szCs w:val="22"/>
              </w:rPr>
            </w:pPr>
            <w:r>
              <w:rPr>
                <w:rFonts w:hint="eastAsia" w:ascii="宋体" w:hAnsi="宋体"/>
                <w:color w:val="000000"/>
                <w:kern w:val="0"/>
                <w:sz w:val="22"/>
                <w:szCs w:val="22"/>
              </w:rPr>
              <w:t>项目实施所产生的效益。</w:t>
            </w:r>
          </w:p>
        </w:tc>
        <w:tc>
          <w:tcPr>
            <w:tcW w:w="5368" w:type="dxa"/>
            <w:shd w:val="clear" w:color="auto" w:fill="FFFFFF"/>
            <w:vAlign w:val="center"/>
          </w:tcPr>
          <w:p w14:paraId="388B3F10">
            <w:pPr>
              <w:widowControl/>
              <w:spacing w:line="0" w:lineRule="atLeast"/>
              <w:rPr>
                <w:rFonts w:ascii="宋体" w:hAnsi="宋体"/>
                <w:color w:val="000000"/>
                <w:kern w:val="0"/>
                <w:sz w:val="22"/>
                <w:szCs w:val="22"/>
              </w:rPr>
            </w:pPr>
            <w:r>
              <w:rPr>
                <w:rFonts w:hint="eastAsia" w:ascii="宋体" w:hAnsi="宋体"/>
                <w:color w:val="000000"/>
                <w:kern w:val="0"/>
                <w:sz w:val="22"/>
                <w:szCs w:val="22"/>
              </w:rPr>
              <w:t>项目实施所产生的社会效益、经济效益、生态效益、可持续影响等。可根据项目实际情况有选择地设置和细化。</w:t>
            </w:r>
          </w:p>
        </w:tc>
      </w:tr>
      <w:tr w14:paraId="188A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861" w:type="dxa"/>
            <w:vMerge w:val="continue"/>
            <w:shd w:val="clear" w:color="auto" w:fill="auto"/>
            <w:vAlign w:val="center"/>
          </w:tcPr>
          <w:p w14:paraId="3CE7F4C2">
            <w:pPr>
              <w:widowControl/>
              <w:jc w:val="left"/>
              <w:rPr>
                <w:rFonts w:ascii="宋体" w:hAnsi="宋体"/>
                <w:color w:val="000000"/>
                <w:kern w:val="0"/>
                <w:sz w:val="22"/>
                <w:szCs w:val="22"/>
              </w:rPr>
            </w:pPr>
          </w:p>
        </w:tc>
        <w:tc>
          <w:tcPr>
            <w:tcW w:w="812" w:type="dxa"/>
            <w:vMerge w:val="continue"/>
            <w:shd w:val="clear" w:color="auto" w:fill="auto"/>
            <w:vAlign w:val="center"/>
          </w:tcPr>
          <w:p w14:paraId="1C0AA95C">
            <w:pPr>
              <w:widowControl/>
              <w:jc w:val="left"/>
              <w:rPr>
                <w:rFonts w:ascii="宋体" w:hAnsi="宋体"/>
                <w:color w:val="000000"/>
                <w:kern w:val="0"/>
                <w:sz w:val="22"/>
                <w:szCs w:val="22"/>
              </w:rPr>
            </w:pPr>
          </w:p>
        </w:tc>
        <w:tc>
          <w:tcPr>
            <w:tcW w:w="789" w:type="dxa"/>
            <w:shd w:val="clear" w:color="auto" w:fill="FFFFFF"/>
            <w:vAlign w:val="center"/>
          </w:tcPr>
          <w:p w14:paraId="5F8C1EC1">
            <w:pPr>
              <w:widowControl/>
              <w:spacing w:line="0" w:lineRule="atLeast"/>
              <w:jc w:val="center"/>
              <w:rPr>
                <w:rFonts w:ascii="宋体" w:hAnsi="宋体"/>
                <w:color w:val="000000"/>
                <w:kern w:val="0"/>
                <w:sz w:val="22"/>
                <w:szCs w:val="22"/>
              </w:rPr>
            </w:pPr>
            <w:r>
              <w:rPr>
                <w:rFonts w:hint="eastAsia" w:ascii="宋体" w:hAnsi="宋体"/>
                <w:color w:val="000000"/>
                <w:kern w:val="0"/>
                <w:sz w:val="22"/>
                <w:szCs w:val="22"/>
              </w:rPr>
              <w:t>满意度</w:t>
            </w:r>
          </w:p>
        </w:tc>
        <w:tc>
          <w:tcPr>
            <w:tcW w:w="2599" w:type="dxa"/>
            <w:shd w:val="clear" w:color="auto" w:fill="FFFFFF"/>
            <w:vAlign w:val="center"/>
          </w:tcPr>
          <w:p w14:paraId="31468641">
            <w:pPr>
              <w:widowControl/>
              <w:spacing w:line="0" w:lineRule="atLeast"/>
              <w:rPr>
                <w:rFonts w:ascii="宋体" w:hAnsi="宋体"/>
                <w:color w:val="000000"/>
                <w:kern w:val="0"/>
                <w:sz w:val="22"/>
                <w:szCs w:val="22"/>
              </w:rPr>
            </w:pPr>
            <w:r>
              <w:rPr>
                <w:rFonts w:hint="eastAsia" w:ascii="宋体" w:hAnsi="宋体"/>
                <w:color w:val="000000"/>
                <w:kern w:val="0"/>
                <w:sz w:val="22"/>
                <w:szCs w:val="22"/>
              </w:rPr>
              <w:t>社会公众或服务对象对项目实施效果的满意程度。</w:t>
            </w:r>
          </w:p>
        </w:tc>
        <w:tc>
          <w:tcPr>
            <w:tcW w:w="5368" w:type="dxa"/>
            <w:shd w:val="clear" w:color="auto" w:fill="FFFFFF"/>
            <w:vAlign w:val="center"/>
          </w:tcPr>
          <w:p w14:paraId="2CF37365">
            <w:pPr>
              <w:widowControl/>
              <w:spacing w:line="0" w:lineRule="atLeast"/>
              <w:rPr>
                <w:rFonts w:ascii="宋体" w:hAnsi="宋体"/>
                <w:color w:val="000000"/>
                <w:kern w:val="0"/>
                <w:sz w:val="22"/>
                <w:szCs w:val="22"/>
              </w:rPr>
            </w:pPr>
            <w:r>
              <w:rPr>
                <w:rFonts w:hint="eastAsia" w:ascii="宋体" w:hAnsi="宋体"/>
                <w:color w:val="000000"/>
                <w:kern w:val="0"/>
                <w:sz w:val="22"/>
                <w:szCs w:val="22"/>
              </w:rPr>
              <w:t>社会公众或服务对象是指因该项目实施而受到影响的部门（单位）、群体或个人。一般采取社会调查的方式。</w:t>
            </w:r>
          </w:p>
        </w:tc>
      </w:tr>
    </w:tbl>
    <w:p w14:paraId="39C59570">
      <w:pPr>
        <w:spacing w:line="600" w:lineRule="exact"/>
      </w:pPr>
      <w:r>
        <w:rPr>
          <w:rFonts w:hint="eastAsia" w:ascii="仿宋_GB2312"/>
          <w:sz w:val="32"/>
          <w:szCs w:val="32"/>
        </w:rPr>
        <w:t xml:space="preserve"> </w:t>
      </w:r>
    </w:p>
    <w:p w14:paraId="3A4D354E">
      <w:pPr>
        <w:spacing w:line="500" w:lineRule="exact"/>
        <w:rPr>
          <w:rFonts w:eastAsia="仿宋_GB2312"/>
          <w:position w:val="-4"/>
          <w:sz w:val="28"/>
          <w:szCs w:val="28"/>
        </w:rPr>
      </w:pPr>
    </w:p>
    <w:p w14:paraId="4F06384F"/>
    <w:p w14:paraId="6EC81757"/>
    <w:sectPr>
      <w:headerReference r:id="rId6" w:type="first"/>
      <w:headerReference r:id="rId5" w:type="default"/>
      <w:footerReference r:id="rId7" w:type="default"/>
      <w:footerReference r:id="rId8" w:type="even"/>
      <w:pgSz w:w="11905" w:h="16837"/>
      <w:pgMar w:top="1474" w:right="1531" w:bottom="1531" w:left="1531" w:header="720" w:footer="1077" w:gutter="0"/>
      <w:pgNumType w:fmt="numberInDash"/>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0AC89">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8417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4035" cy="384175"/>
                      </a:xfrm>
                      <a:prstGeom prst="rect">
                        <a:avLst/>
                      </a:prstGeom>
                      <a:noFill/>
                      <a:ln>
                        <a:noFill/>
                      </a:ln>
                    </wps:spPr>
                    <wps:txbx>
                      <w:txbxContent>
                        <w:p w14:paraId="771F72B9">
                          <w:pPr>
                            <w:pStyle w:val="2"/>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- 15 -</w:t>
                          </w:r>
                          <w:r>
                            <w:rPr>
                              <w:rStyle w:val="11"/>
                              <w:rFonts w:ascii="宋体" w:hAnsi="宋体"/>
                              <w:sz w:val="28"/>
                              <w:szCs w:val="28"/>
                            </w:rPr>
                            <w:fldChar w:fldCharType="end"/>
                          </w:r>
                        </w:p>
                        <w:p w14:paraId="1614EB0C"/>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0.25pt;width:42.05pt;mso-position-horizontal:outside;mso-position-horizontal-relative:margin;mso-wrap-style:none;z-index:251659264;mso-width-relative:page;mso-height-relative:page;" filled="f" stroked="f" coordsize="21600,21600" o:gfxdata="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eQ6dEAAAADAQAADwAAAAAAAAABACAAAAAiAAAAZHJz&#10;L2Rvd25yZXYueG1sUEsBAhQAFAAAAAgAh07iQMVdkAALAgAAAgQAAA4AAAAAAAAAAQAgAAAAIAEA&#10;AGRycy9lMm9Eb2MueG1sUEsFBgAAAAAGAAYAWQEAAJ0FAAAAAA==&#10;">
              <v:fill on="f" focussize="0,0"/>
              <v:stroke on="f"/>
              <v:imagedata o:title=""/>
              <o:lock v:ext="edit" aspectratio="f"/>
              <v:textbox inset="0mm,0mm,0mm,0mm" style="mso-fit-shape-to-text:t;">
                <w:txbxContent>
                  <w:p w14:paraId="771F72B9">
                    <w:pPr>
                      <w:pStyle w:val="2"/>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- 15 -</w:t>
                    </w:r>
                    <w:r>
                      <w:rPr>
                        <w:rStyle w:val="11"/>
                        <w:rFonts w:ascii="宋体" w:hAnsi="宋体"/>
                        <w:sz w:val="28"/>
                        <w:szCs w:val="28"/>
                      </w:rPr>
                      <w:fldChar w:fldCharType="end"/>
                    </w:r>
                  </w:p>
                  <w:p w14:paraId="1614EB0C"/>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0F36E">
    <w:pPr>
      <w:pStyle w:val="2"/>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77302D6E">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03A26">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38417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384175"/>
                      </a:xfrm>
                      <a:prstGeom prst="rect">
                        <a:avLst/>
                      </a:prstGeom>
                      <a:noFill/>
                      <a:ln>
                        <a:noFill/>
                      </a:ln>
                    </wps:spPr>
                    <wps:txbx>
                      <w:txbxContent>
                        <w:p w14:paraId="49F167DF">
                          <w:pPr>
                            <w:pStyle w:val="2"/>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- 17 -</w:t>
                          </w:r>
                          <w:r>
                            <w:rPr>
                              <w:rFonts w:ascii="宋体" w:hAnsi="宋体"/>
                              <w:sz w:val="28"/>
                              <w:szCs w:val="28"/>
                            </w:rPr>
                            <w:fldChar w:fldCharType="end"/>
                          </w:r>
                        </w:p>
                        <w:p w14:paraId="540C28E0"/>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0.25pt;width:42.05pt;mso-position-horizontal:outside;mso-position-horizontal-relative:margin;mso-wrap-style:none;z-index:251660288;mso-width-relative:page;mso-height-relative:page;" filled="f" stroked="f" coordsize="21600,21600" o:gfxdata="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eQ6dEAAAADAQAADwAAAAAAAAABACAAAAAiAAAAZHJz&#10;L2Rvd25yZXYueG1sUEsBAhQAFAAAAAgAh07iQL3oI0ILAgAAAgQAAA4AAAAAAAAAAQAgAAAAIAEA&#10;AGRycy9lMm9Eb2MueG1sUEsFBgAAAAAGAAYAWQEAAJ0FAAAAAA==&#10;">
              <v:fill on="f" focussize="0,0"/>
              <v:stroke on="f"/>
              <v:imagedata o:title=""/>
              <o:lock v:ext="edit" aspectratio="f"/>
              <v:textbox inset="0mm,0mm,0mm,0mm" style="mso-fit-shape-to-text:t;">
                <w:txbxContent>
                  <w:p w14:paraId="49F167DF">
                    <w:pPr>
                      <w:pStyle w:val="2"/>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- 17 -</w:t>
                    </w:r>
                    <w:r>
                      <w:rPr>
                        <w:rFonts w:ascii="宋体" w:hAnsi="宋体"/>
                        <w:sz w:val="28"/>
                        <w:szCs w:val="28"/>
                      </w:rPr>
                      <w:fldChar w:fldCharType="end"/>
                    </w:r>
                  </w:p>
                  <w:p w14:paraId="540C28E0"/>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E8066">
    <w:pPr>
      <w:pStyle w:val="2"/>
      <w:framePr w:wrap="around" w:vAnchor="text" w:hAnchor="margin" w:xAlign="outside" w:y="1"/>
      <w:rPr>
        <w:rStyle w:val="11"/>
      </w:rPr>
    </w:pPr>
    <w:r>
      <w:fldChar w:fldCharType="begin"/>
    </w:r>
    <w:r>
      <w:rPr>
        <w:rStyle w:val="11"/>
      </w:rPr>
      <w:instrText xml:space="preserve">PAGE  </w:instrText>
    </w:r>
    <w:r>
      <w:fldChar w:fldCharType="end"/>
    </w:r>
  </w:p>
  <w:p w14:paraId="5B28C188">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6AA27">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FE4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00661"/>
    <w:multiLevelType w:val="singleLevel"/>
    <w:tmpl w:val="B7C0066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ZDAyMWY5NjYxZjBlMmNmMGQ5OGExODFhNGEwYTQifQ=="/>
  </w:docVars>
  <w:rsids>
    <w:rsidRoot w:val="2979709A"/>
    <w:rsid w:val="071C5F8D"/>
    <w:rsid w:val="08251EAA"/>
    <w:rsid w:val="0B1A3B30"/>
    <w:rsid w:val="0BF764E3"/>
    <w:rsid w:val="102C226C"/>
    <w:rsid w:val="134026C7"/>
    <w:rsid w:val="16B56971"/>
    <w:rsid w:val="1EA638ED"/>
    <w:rsid w:val="1EE451A3"/>
    <w:rsid w:val="21F21555"/>
    <w:rsid w:val="279A0802"/>
    <w:rsid w:val="2979709A"/>
    <w:rsid w:val="2E73018F"/>
    <w:rsid w:val="2F917CA1"/>
    <w:rsid w:val="31642DF4"/>
    <w:rsid w:val="3D146729"/>
    <w:rsid w:val="40B75438"/>
    <w:rsid w:val="451F52BF"/>
    <w:rsid w:val="45F80D1D"/>
    <w:rsid w:val="493E17D1"/>
    <w:rsid w:val="4D384C65"/>
    <w:rsid w:val="4D611F8A"/>
    <w:rsid w:val="541B305B"/>
    <w:rsid w:val="5FA90E6B"/>
    <w:rsid w:val="6123355D"/>
    <w:rsid w:val="65CC1AFD"/>
    <w:rsid w:val="68AA4614"/>
    <w:rsid w:val="6D467052"/>
    <w:rsid w:val="756B3B5C"/>
    <w:rsid w:val="76956D73"/>
    <w:rsid w:val="779F7021"/>
    <w:rsid w:val="79296C7C"/>
    <w:rsid w:val="7933613E"/>
    <w:rsid w:val="7D92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style>
  <w:style w:type="paragraph" w:styleId="4">
    <w:name w:val="heading 2"/>
    <w:basedOn w:val="1"/>
    <w:next w:val="1"/>
    <w:qFormat/>
    <w:uiPriority w:val="0"/>
    <w:pPr>
      <w:keepNext/>
      <w:keepLines/>
      <w:spacing w:before="260" w:after="260" w:line="412"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5">
    <w:name w:val="Normal Indent"/>
    <w:basedOn w:val="1"/>
    <w:qFormat/>
    <w:uiPriority w:val="0"/>
    <w:pPr>
      <w:ind w:firstLine="420" w:firstLineChars="200"/>
    </w:pPr>
  </w:style>
  <w:style w:type="paragraph" w:styleId="6">
    <w:name w:val="Date"/>
    <w:basedOn w:val="1"/>
    <w:next w:val="1"/>
    <w:qFormat/>
    <w:uiPriority w:val="0"/>
    <w:pPr>
      <w:ind w:left="100" w:leftChars="2500"/>
    </w:pPr>
    <w:rPr>
      <w:rFonts w:eastAsia="仿宋_GB2312"/>
      <w:kern w:val="0"/>
      <w:sz w:val="2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宋体" w:cs="宋体"/>
      <w:sz w:val="24"/>
    </w:rPr>
  </w:style>
  <w:style w:type="character" w:styleId="11">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10577</Words>
  <Characters>10929</Characters>
  <Lines>0</Lines>
  <Paragraphs>0</Paragraphs>
  <TotalTime>6</TotalTime>
  <ScaleCrop>false</ScaleCrop>
  <LinksUpToDate>false</LinksUpToDate>
  <CharactersWithSpaces>11528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2022-06-20T07:59:00Z</dcterms:created>
  <dc:creator>Administrator</dc:creator>
  <cp:lastModifiedBy>@p</cp:lastModifiedBy>
  <dcterms:modified xsi:type="dcterms:W3CDTF">2025-02-28T02:55:23Z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9EE7C6BB71AE4FE68BF858F85FC1B4A6</vt:lpwstr>
  </property>
  <property fmtid="{D5CDD505-2E9C-101B-9397-08002B2CF9AE}" pid="4" name="KSOTemplateDocerSaveRecord">
    <vt:lpwstr>eyJoZGlkIjoiM2U5MTFiYWVkNjc0Y2Y5NzVhYjMxMzljYWE3ZWYyMDEiLCJ1c2VySWQiOiI0MTcxNjk4MTcifQ==</vt:lpwstr>
  </property>
</Properties>
</file>