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2-3</w:t>
      </w:r>
    </w:p>
    <w:p>
      <w:pPr>
        <w:spacing w:before="120" w:beforeLines="50"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市级预算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部门整体支出绩效自评表</w:t>
      </w:r>
    </w:p>
    <w:p>
      <w:pPr>
        <w:spacing w:line="400" w:lineRule="exact"/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（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年度）</w:t>
      </w:r>
    </w:p>
    <w:tbl>
      <w:tblPr>
        <w:tblStyle w:val="6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90"/>
        <w:gridCol w:w="1230"/>
        <w:gridCol w:w="1400"/>
        <w:gridCol w:w="55"/>
        <w:gridCol w:w="998"/>
        <w:gridCol w:w="1984"/>
        <w:gridCol w:w="540"/>
        <w:gridCol w:w="62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/>
                <w:color w:val="000000"/>
              </w:rPr>
              <w:t>市</w:t>
            </w:r>
            <w:r>
              <w:rPr>
                <w:rFonts w:eastAsia="仿宋_GB2312"/>
                <w:color w:val="000000"/>
              </w:rPr>
              <w:t>级预算部门名</w:t>
            </w:r>
            <w:r>
              <w:rPr>
                <w:rFonts w:hint="eastAsia" w:cs="宋体"/>
                <w:color w:val="000000"/>
              </w:rPr>
              <w:t>称</w:t>
            </w:r>
          </w:p>
        </w:tc>
        <w:tc>
          <w:tcPr>
            <w:tcW w:w="91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湖南吉首经济开发区管理委员会</w:t>
            </w: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年度</w:t>
            </w:r>
            <w:r>
              <w:rPr>
                <w:rFonts w:hint="eastAsia" w:cs="宋体"/>
                <w:color w:val="000000"/>
              </w:rPr>
              <w:t>预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算申请</w:t>
            </w:r>
            <w:r>
              <w:rPr>
                <w:rFonts w:eastAsia="仿宋_GB2312"/>
                <w:color w:val="000000"/>
              </w:rPr>
              <w:br w:type="textWrapping"/>
            </w:r>
            <w:r>
              <w:rPr>
                <w:rFonts w:eastAsia="仿宋_GB2312"/>
                <w:color w:val="000000"/>
              </w:rPr>
              <w:t>（万元</w:t>
            </w:r>
            <w:r>
              <w:rPr>
                <w:rFonts w:hint="eastAsia" w:cs="宋体"/>
                <w:color w:val="000000"/>
              </w:rPr>
              <w:t>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eastAsia="仿宋_GB2312"/>
              </w:rPr>
              <w:t>年</w:t>
            </w:r>
            <w:r>
              <w:rPr>
                <w:rFonts w:hint="eastAsia" w:cs="宋体"/>
              </w:rPr>
              <w:t>初</w:t>
            </w:r>
            <w:r>
              <w:rPr>
                <w:rFonts w:eastAsia="仿宋_GB2312"/>
              </w:rPr>
              <w:t>预算</w:t>
            </w:r>
            <w:r>
              <w:rPr>
                <w:rFonts w:hint="eastAsia" w:cs="宋体"/>
              </w:rPr>
              <w:t>数（万元）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</w:t>
            </w:r>
            <w:r>
              <w:rPr>
                <w:rFonts w:hint="eastAsia" w:cs="宋体"/>
              </w:rPr>
              <w:t>数（万元）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eastAsia="仿宋_GB2312"/>
              </w:rPr>
              <w:t>全</w:t>
            </w:r>
            <w:r>
              <w:rPr>
                <w:rFonts w:hint="eastAsia" w:cs="宋体"/>
              </w:rPr>
              <w:t>年</w:t>
            </w:r>
            <w:r>
              <w:rPr>
                <w:rFonts w:eastAsia="仿宋_GB2312"/>
              </w:rPr>
              <w:t>执行</w:t>
            </w:r>
            <w:r>
              <w:rPr>
                <w:rFonts w:hint="eastAsia" w:cs="宋体"/>
              </w:rPr>
              <w:t>数（万元）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</w:t>
            </w:r>
            <w:r>
              <w:rPr>
                <w:rFonts w:hint="eastAsia" w:cs="宋体"/>
              </w:rPr>
              <w:t>值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</w:t>
            </w:r>
            <w:r>
              <w:rPr>
                <w:rFonts w:hint="eastAsia" w:cs="宋体"/>
              </w:rPr>
              <w:t>率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</w:t>
            </w:r>
            <w:r>
              <w:rPr>
                <w:rFonts w:hint="eastAsia" w:cs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年度资金总</w:t>
            </w:r>
            <w:r>
              <w:rPr>
                <w:rFonts w:hint="eastAsia" w:cs="宋体"/>
                <w:color w:val="000000"/>
              </w:rPr>
              <w:t>额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294.42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3723.68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3723.68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100%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按收入性质分</w:t>
            </w:r>
            <w:r>
              <w:rPr>
                <w:rFonts w:hint="eastAsia" w:cs="宋体"/>
                <w:color w:val="000000"/>
              </w:rPr>
              <w:t>：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一般公共预算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294.42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3723.68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3723.68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政府性基金拨款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40" w:firstLineChars="40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40" w:firstLineChars="40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———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纳入专户管理的非税收入拨款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其他资金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470" w:firstLineChars="70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470" w:firstLineChars="70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/>
              <w:spacing w:line="260" w:lineRule="exact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</w:rPr>
              <w:t>按支出性质分</w:t>
            </w:r>
            <w:r>
              <w:rPr>
                <w:rFonts w:hint="eastAsia" w:cs="宋体"/>
                <w:color w:val="000000"/>
              </w:rPr>
              <w:t>：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基本支出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294.42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338.93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338.93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项目支出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470" w:firstLineChars="70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3384.75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3384.75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年度总体目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49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预期目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4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9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1.加强营收、税收，项目建设，招商引资。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2.提升园区承载力。不断完善基础设施建设，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提升园区功能；夯实承接平台。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3.坚持招大引强，高效发展园区经济。突出精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准招商，做强主导产业。立足装配式建筑、电子信息、商贸物流等产业的延链补链强链。抢抓湘西承接产业转移示范区建设机遇，坚持主导产业靶向招商，推动电子信息产业集聚发展。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4.优化营商环境。为园区企业提供精准服务，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持续深化“放管服”改革，严格规范吉首市政务服务中心吉首经济开发区分中心运营。持续抓好惠企政策兑现，做到应兑尽兑。加快政务分中心兑现窗口建立，实现一站式服务。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5.提高行政效益。吉首市经开区进一步加强党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史教育和宗旨教育，引导干部树立正确的世界观、人生观、价值观，提升自身整体队伍素质；聚焦“四风”改作风，全面整顿党员干部存在的作风浮漂、工作推诿、方式粗暴等问题，进一步提升工作效率，切实改变工作作风；以“清廉”为工作目标，狠抓反腐倡廉教育，增强干部廉洁从政意识，实现廉政风险防控制度化、规范化、常态化；严格资金预算管理。促进部门改进文风会风，加强经费及资产管理，进一步贯彻落实厉行节约、严控“三公”经费、降低一般运行经费、提高行政效率，降低行政成本效果较好。用活用好市政府授予经开区5个市直部门18项行政管理权限和“二号公章”，全面推行“模拟审批”“并联审批”“阳光审批”，实现审批工作“流程再造，效率倍增，公开透明”。行政审批和公共服务流程得到进一步优化。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1.按“五好”园区要求，不断推进高质量发展。一是抓实园区改革。根据相关文件，完成吉首经开区体制机制改革，全面激发园区活力。二是抓好园区赋权。认真编制了《吉首市园区赋权工作方案》，全力推进省级园区160个事项赋权承接工作，力争早日实现“园区事园区办”。三是抓调区调规。高标准编制完成《吉首经济开发区调区总体规划》，积极对接省生态环境厅、省发改委、省自然资源厅等相关部门，已完成园区调区调规相关资料报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2.坚持项目为王，持续提升园区承载力。一是不断完善基础设施建设，提升园区功能。二是不断夯实承接平台。三是抢抓“高铁时代”机遇，重点谋划三甲医院、专科医院、腾达学校等一批重点教育医疗项目。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3.坚持招大引强，高效发展园区经济一是突出精准招商。二是做强主导产业。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4.坚持精准服务，不断优化营商环境一是抓企业培育。二是抓科技创新。三是抓精准服务。</w:t>
            </w: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绩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效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年度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实际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偏差原因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分析及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产出指标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(50分)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在职人员控制率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100%以下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58.97%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三公经费变动率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100%以下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0%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政府采购执行率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100%以下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97.44%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管理制度健全性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财务有关制度、工作有关制度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严格按照规定制定相关制度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资产管理安全性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_GB2312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</w:rPr>
              <w:t>部门的资产是否保存完整、使用合规、配置合理</w:t>
            </w:r>
            <w:r>
              <w:rPr>
                <w:rFonts w:hint="eastAsia" w:eastAsia="仿宋_GB2312"/>
                <w:lang w:eastAsia="zh-CN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部门资产保存完整且使用合规，配置合理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时效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工作任务是否按时完成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本年度内完成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预决算信息公开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是否按时公开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成本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三公经费控制率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100%以下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11.28%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效益指标</w:t>
            </w:r>
          </w:p>
          <w:p>
            <w:pPr>
              <w:spacing w:line="26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（30分）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经济效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实现园区完成技工贸收入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是否得以增长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  <w:lang w:val="en-US" w:eastAsia="zh-CN" w:bidi="ar-SA"/>
              </w:rPr>
              <w:t>2021年园区预计实现技工贸总收入52.37亿元，同比增长69.1%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社会效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营商环境优化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营商环境是否得以优化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培育园区企业，加快推进园区科技创新，为园区企业精准服务，全力营造亲商、安商、兴商、富商环境。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生态效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不适用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可持续性是否得以延续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可持续性得以延续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满意度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指标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1"/>
                <w:szCs w:val="21"/>
              </w:rPr>
              <w:t>社会公众或服务对象满意度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91%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说明：执行率=全年执行数/全年预算数×100%</w:t>
      </w:r>
    </w:p>
    <w:p>
      <w:pPr>
        <w:spacing w:line="3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单位负责人签字：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陈思保</w:t>
      </w:r>
      <w:r>
        <w:rPr>
          <w:rFonts w:hint="eastAsia" w:ascii="仿宋" w:hAnsi="仿宋" w:eastAsia="仿宋" w:cs="仿宋"/>
          <w:sz w:val="21"/>
          <w:szCs w:val="21"/>
        </w:rPr>
        <w:t xml:space="preserve">  填表人：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田云</w:t>
      </w:r>
      <w:r>
        <w:rPr>
          <w:rFonts w:hint="eastAsia" w:ascii="仿宋" w:hAnsi="仿宋" w:eastAsia="仿宋" w:cs="仿宋"/>
          <w:sz w:val="21"/>
          <w:szCs w:val="21"/>
        </w:rPr>
        <w:t xml:space="preserve">  联系电话：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15207432963</w:t>
      </w:r>
      <w:r>
        <w:rPr>
          <w:rFonts w:hint="eastAsia" w:ascii="仿宋" w:hAnsi="仿宋" w:eastAsia="仿宋" w:cs="仿宋"/>
          <w:sz w:val="21"/>
          <w:szCs w:val="21"/>
        </w:rPr>
        <w:t xml:space="preserve">  填报日期：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2022</w:t>
      </w:r>
      <w:r>
        <w:rPr>
          <w:rFonts w:hint="eastAsia" w:ascii="仿宋" w:hAnsi="仿宋" w:eastAsia="仿宋" w:cs="仿宋"/>
          <w:sz w:val="21"/>
          <w:szCs w:val="21"/>
        </w:rPr>
        <w:t xml:space="preserve"> 年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sz w:val="21"/>
          <w:szCs w:val="21"/>
        </w:rPr>
        <w:t xml:space="preserve"> 日</w:t>
      </w:r>
    </w:p>
    <w:p>
      <w:pPr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ODNjOTMyNWExYmU1ZWI4NDg4Njg5M2VmYWVlODYifQ=="/>
  </w:docVars>
  <w:rsids>
    <w:rsidRoot w:val="00000000"/>
    <w:rsid w:val="1BE43266"/>
    <w:rsid w:val="331F793F"/>
    <w:rsid w:val="349A0FE7"/>
    <w:rsid w:val="3BA80595"/>
    <w:rsid w:val="60C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index 51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1654</Words>
  <Characters>1843</Characters>
  <Lines>0</Lines>
  <Paragraphs>0</Paragraphs>
  <TotalTime>7</TotalTime>
  <ScaleCrop>false</ScaleCrop>
  <LinksUpToDate>false</LinksUpToDate>
  <CharactersWithSpaces>1875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2022-07-13T08:45:00Z</dcterms:created>
  <dc:creator>Administrator</dc:creator>
  <cp:lastModifiedBy>Administrator</cp:lastModifiedBy>
  <dcterms:modified xsi:type="dcterms:W3CDTF">2022-07-14T01:35:25Z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65C05C95DDB84C58A0F0A4F8B561F675</vt:lpwstr>
  </property>
</Properties>
</file>