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  <w:r>
        <w:rPr>
          <w:rFonts w:hint="eastAsia" w:eastAsia="黑体"/>
          <w:sz w:val="32"/>
          <w:szCs w:val="32"/>
        </w:rPr>
        <w:t>-2</w:t>
      </w:r>
    </w:p>
    <w:p>
      <w:pPr>
        <w:spacing w:before="120" w:before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市级预算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部门整体支出绩效评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1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2021年度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tbl>
      <w:tblPr>
        <w:tblStyle w:val="3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189"/>
        <w:gridCol w:w="849"/>
        <w:gridCol w:w="1129"/>
        <w:gridCol w:w="1222"/>
        <w:gridCol w:w="858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202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</w:rPr>
              <w:t>年末编制数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202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</w:rPr>
              <w:t>年末实际在职人数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39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23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58.97%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20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仿宋"/>
              </w:rPr>
              <w:t>年决算数</w:t>
            </w:r>
          </w:p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（万元）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202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</w:rPr>
              <w:t>年预算数</w:t>
            </w:r>
          </w:p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（万元）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202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</w:rPr>
              <w:t>年决算数</w:t>
            </w:r>
          </w:p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1.37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1.44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0.16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1、公务用车购置和运行维护费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  其中：公务用车购置费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        公务用车运行维护费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2、因公出国（境）费用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3、公务接待费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1.37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1.44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0.16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无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8.39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27.6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26.9</w:t>
            </w: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       水费、电费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       会议费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  <w:r>
              <w:rPr>
                <w:rFonts w:hint="eastAsia" w:ascii="仿宋_GB2312" w:hAnsi="仿宋" w:eastAsia="仿宋_GB2312" w:cs="仿宋"/>
                <w:color w:val="FF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——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——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楼堂馆所控制情况</w:t>
            </w:r>
            <w:r>
              <w:rPr>
                <w:rFonts w:hint="eastAsia" w:ascii="仿宋_GB2312" w:hAnsi="仿宋" w:eastAsia="仿宋_GB2312" w:cs="仿宋"/>
              </w:rPr>
              <w:br w:type="textWrapping"/>
            </w:r>
            <w:r>
              <w:rPr>
                <w:rFonts w:hint="eastAsia" w:ascii="仿宋_GB2312" w:hAnsi="仿宋" w:eastAsia="仿宋_GB2312" w:cs="仿宋"/>
              </w:rPr>
              <w:t>（2020年完工项目）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批复规模</w:t>
            </w:r>
            <w:r>
              <w:rPr>
                <w:rFonts w:hint="eastAsia" w:ascii="仿宋_GB2312" w:hAnsi="仿宋" w:eastAsia="仿宋_GB2312" w:cs="仿宋"/>
              </w:rPr>
              <w:br w:type="textWrapping"/>
            </w:r>
            <w:r>
              <w:rPr>
                <w:rFonts w:hint="eastAsia" w:ascii="仿宋_GB2312" w:hAnsi="仿宋" w:eastAsia="仿宋_GB2312" w:cs="仿宋"/>
              </w:rPr>
              <w:t>（</w:t>
            </w:r>
            <w:r>
              <w:rPr>
                <w:rFonts w:hint="eastAsia" w:ascii="仿宋_GB2312" w:hAnsi="仿宋" w:eastAsia="仿宋" w:cs="仿宋"/>
              </w:rPr>
              <w:t>㎡</w:t>
            </w:r>
            <w:r>
              <w:rPr>
                <w:rFonts w:hint="eastAsia" w:ascii="仿宋_GB2312" w:hAnsi="仿宋" w:eastAsia="仿宋_GB2312" w:cs="仿宋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实际规模（</w:t>
            </w:r>
            <w:r>
              <w:rPr>
                <w:rFonts w:hint="eastAsia" w:ascii="仿宋_GB2312" w:hAnsi="仿宋" w:eastAsia="仿宋" w:cs="仿宋"/>
              </w:rPr>
              <w:t>㎡</w:t>
            </w:r>
            <w:r>
              <w:rPr>
                <w:rFonts w:hint="eastAsia" w:ascii="仿宋_GB2312" w:hAnsi="仿宋" w:eastAsia="仿宋_GB2312" w:cs="仿宋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规模控制率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预算投资（万元）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无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认真贯彻落实中央关于厉行节约的有关规定并严格执行《党政机关厉行节约反对浪费条例》与《湘西自治州党政机关国内公务接待费管理办法》</w:t>
            </w:r>
            <w:r>
              <w:rPr>
                <w:rFonts w:hint="eastAsia" w:ascii="仿宋_GB2312" w:hAnsi="仿宋" w:eastAsia="仿宋_GB2312" w:cs="仿宋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严控公务接待。</w:t>
            </w:r>
          </w:p>
        </w:tc>
      </w:tr>
    </w:tbl>
    <w:p>
      <w:pPr>
        <w:spacing w:line="360" w:lineRule="exact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说明：财供</w:t>
      </w:r>
      <w:r>
        <w:rPr>
          <w:rFonts w:ascii="仿宋_GB2312" w:hAnsi="仿宋" w:eastAsia="仿宋_GB2312" w:cs="仿宋"/>
        </w:rPr>
        <w:t>人员</w:t>
      </w:r>
      <w:r>
        <w:rPr>
          <w:rFonts w:hint="eastAsia" w:ascii="仿宋_GB2312" w:hAnsi="仿宋" w:eastAsia="仿宋_GB2312" w:cs="仿宋"/>
        </w:rPr>
        <w:t>控制率=实际在职人数/编制数</w:t>
      </w:r>
      <w:r>
        <w:rPr>
          <w:rFonts w:hint="eastAsia" w:asciiTheme="minorEastAsia" w:hAnsiTheme="minorEastAsia" w:eastAsiaTheme="minorEastAsia"/>
        </w:rPr>
        <w:t>×100%</w:t>
      </w:r>
      <w:r>
        <w:rPr>
          <w:rFonts w:hint="eastAsia" w:ascii="仿宋_GB2312" w:hAnsi="仿宋" w:eastAsia="仿宋_GB2312" w:cs="仿宋"/>
        </w:rPr>
        <w:t>，规模控制率=实际规模/批复规模</w:t>
      </w:r>
      <w:r>
        <w:rPr>
          <w:rFonts w:hint="eastAsia" w:asciiTheme="minorEastAsia" w:hAnsiTheme="minorEastAsia" w:eastAsiaTheme="minorEastAsia"/>
        </w:rPr>
        <w:t>×100%</w:t>
      </w:r>
      <w:r>
        <w:rPr>
          <w:rFonts w:hint="eastAsia" w:ascii="仿宋_GB2312" w:hAnsi="仿宋" w:eastAsia="仿宋_GB2312" w:cs="仿宋"/>
        </w:rPr>
        <w:t>，投资概算控制率=实际投资/预算投资</w:t>
      </w:r>
      <w:r>
        <w:rPr>
          <w:rFonts w:hint="eastAsia" w:asciiTheme="minorEastAsia" w:hAnsiTheme="minorEastAsia" w:eastAsiaTheme="minorEastAsia"/>
        </w:rPr>
        <w:t>×100%</w:t>
      </w:r>
      <w:r>
        <w:rPr>
          <w:rFonts w:asciiTheme="minorEastAsia" w:hAnsiTheme="minorEastAsia" w:eastAsiaTheme="minorEastAsia"/>
        </w:rPr>
        <w:t>,</w:t>
      </w:r>
      <w:r>
        <w:rPr>
          <w:rFonts w:hint="eastAsia" w:ascii="仿宋_GB2312" w:hAnsi="仿宋" w:eastAsia="仿宋_GB2312" w:cs="仿宋"/>
        </w:rPr>
        <w:t>项目支出需要填报除基本支出以外的所有项目支出情况，公用经费填报基本支出中的商品和服务支出。</w:t>
      </w:r>
    </w:p>
    <w:p>
      <w:pPr>
        <w:spacing w:line="36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单位负责人签字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  <w:lang w:val="en-US" w:eastAsia="zh-CN"/>
        </w:rPr>
        <w:t>陈思保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填表人：</w:t>
      </w:r>
      <w:r>
        <w:rPr>
          <w:rFonts w:hint="eastAsia" w:ascii="仿宋" w:hAnsi="仿宋" w:eastAsia="仿宋" w:cs="仿宋"/>
          <w:lang w:val="en-US" w:eastAsia="zh-CN"/>
        </w:rPr>
        <w:t>田云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联系电话</w:t>
      </w:r>
      <w:r>
        <w:rPr>
          <w:rFonts w:hint="eastAsia" w:ascii="仿宋" w:hAnsi="仿宋" w:eastAsia="仿宋" w:cs="仿宋"/>
          <w:lang w:val="en-US" w:eastAsia="zh-CN"/>
        </w:rPr>
        <w:t>15207432963</w:t>
      </w:r>
    </w:p>
    <w:p>
      <w:pPr>
        <w:spacing w:line="3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填报日期</w:t>
      </w:r>
      <w:r>
        <w:rPr>
          <w:rFonts w:hint="eastAsia" w:ascii="仿宋" w:hAnsi="仿宋" w:eastAsia="仿宋" w:cs="仿宋"/>
          <w:lang w:val="en-US" w:eastAsia="zh-CN"/>
        </w:rPr>
        <w:t>2022</w:t>
      </w:r>
      <w:r>
        <w:rPr>
          <w:rFonts w:hint="eastAsia" w:ascii="仿宋" w:hAnsi="仿宋" w:eastAsia="仿宋" w:cs="仿宋"/>
        </w:rPr>
        <w:t xml:space="preserve">年 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ODNjOTMyNWExYmU1ZWI4NDg4Njg5M2VmYWVlODYifQ=="/>
  </w:docVars>
  <w:rsids>
    <w:rsidRoot w:val="00000000"/>
    <w:rsid w:val="0EA00AC3"/>
    <w:rsid w:val="53950176"/>
    <w:rsid w:val="5F533C24"/>
    <w:rsid w:val="6C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560</Characters>
  <Lines>0</Lines>
  <Paragraphs>0</Paragraphs>
  <TotalTime>7</TotalTime>
  <ScaleCrop>false</ScaleCrop>
  <LinksUpToDate>false</LinksUpToDate>
  <CharactersWithSpaces>665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2022-07-13T08:41:00Z</dcterms:created>
  <dc:creator>Administrator</dc:creator>
  <cp:lastModifiedBy>Administrator</cp:lastModifiedBy>
  <dcterms:modified xsi:type="dcterms:W3CDTF">2022-07-14T02:06:50Z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22368170519B43E798BDE179A0FBC869</vt:lpwstr>
  </property>
</Properties>
</file>